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78" w:rsidRDefault="00213678" w:rsidP="009E063A">
      <w:pPr>
        <w:jc w:val="center"/>
      </w:pPr>
    </w:p>
    <w:p w:rsidR="00161062" w:rsidRDefault="00161062" w:rsidP="009E063A">
      <w:pPr>
        <w:jc w:val="center"/>
      </w:pPr>
    </w:p>
    <w:p w:rsidR="00A963AF" w:rsidRDefault="00B83CF4" w:rsidP="009E063A">
      <w:pPr>
        <w:jc w:val="center"/>
      </w:pPr>
      <w:r w:rsidRPr="00B83CF4">
        <w:rPr>
          <w:noProof/>
        </w:rPr>
        <w:drawing>
          <wp:inline distT="0" distB="0" distL="0" distR="0">
            <wp:extent cx="3731326" cy="1974850"/>
            <wp:effectExtent l="19050" t="0" r="2474" b="0"/>
            <wp:docPr id="4" name="Picture 1" descr="\\boonecounty.local\work1\FolderRedirect\CCS-Boone\Documents\MKresse\My Documents\Board\Committees\Public Relations\Art work\Boo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necounty.local\work1\FolderRedirect\CCS-Boone\Documents\MKresse\My Documents\Board\Committees\Public Relations\Art work\Boost Logo.jpg"/>
                    <pic:cNvPicPr>
                      <a:picLocks noChangeAspect="1" noChangeArrowheads="1"/>
                    </pic:cNvPicPr>
                  </pic:nvPicPr>
                  <pic:blipFill>
                    <a:blip r:embed="rId7" cstate="print"/>
                    <a:srcRect/>
                    <a:stretch>
                      <a:fillRect/>
                    </a:stretch>
                  </pic:blipFill>
                  <pic:spPr bwMode="auto">
                    <a:xfrm>
                      <a:off x="0" y="0"/>
                      <a:ext cx="3760247" cy="1990157"/>
                    </a:xfrm>
                    <a:prstGeom prst="rect">
                      <a:avLst/>
                    </a:prstGeom>
                    <a:noFill/>
                    <a:ln w="9525">
                      <a:noFill/>
                      <a:miter lim="800000"/>
                      <a:headEnd/>
                      <a:tailEnd/>
                    </a:ln>
                  </pic:spPr>
                </pic:pic>
              </a:graphicData>
            </a:graphic>
          </wp:inline>
        </w:drawing>
      </w:r>
    </w:p>
    <w:p w:rsidR="00A963AF" w:rsidRDefault="00A963AF" w:rsidP="009E063A">
      <w:pPr>
        <w:jc w:val="center"/>
      </w:pPr>
    </w:p>
    <w:p w:rsidR="00784FDA" w:rsidRPr="00C51E35" w:rsidRDefault="00C75847" w:rsidP="009E063A">
      <w:pPr>
        <w:jc w:val="center"/>
        <w:rPr>
          <w:b/>
          <w:sz w:val="32"/>
          <w:szCs w:val="32"/>
        </w:rPr>
      </w:pPr>
      <w:r w:rsidRPr="00C51E35">
        <w:rPr>
          <w:b/>
          <w:sz w:val="32"/>
          <w:szCs w:val="32"/>
        </w:rPr>
        <w:t>Early Childhood Iowa Area</w:t>
      </w:r>
    </w:p>
    <w:p w:rsidR="00827667" w:rsidRPr="00C51E35" w:rsidRDefault="00C51E35" w:rsidP="009E063A">
      <w:pPr>
        <w:jc w:val="center"/>
        <w:rPr>
          <w:b/>
          <w:sz w:val="32"/>
          <w:szCs w:val="32"/>
        </w:rPr>
      </w:pPr>
      <w:r>
        <w:rPr>
          <w:b/>
          <w:sz w:val="32"/>
          <w:szCs w:val="32"/>
        </w:rPr>
        <w:t>f</w:t>
      </w:r>
      <w:r w:rsidR="00C75847" w:rsidRPr="00C51E35">
        <w:rPr>
          <w:b/>
          <w:sz w:val="32"/>
          <w:szCs w:val="32"/>
        </w:rPr>
        <w:t>or Boone County and Story County</w:t>
      </w:r>
    </w:p>
    <w:p w:rsidR="004E6C93" w:rsidRDefault="004E6C93" w:rsidP="005A0497"/>
    <w:p w:rsidR="004619B5" w:rsidRDefault="004619B5" w:rsidP="005A0497"/>
    <w:p w:rsidR="00E06745" w:rsidRDefault="00E06745" w:rsidP="005A0497"/>
    <w:p w:rsidR="004619B5" w:rsidRDefault="004619B5" w:rsidP="005A0497"/>
    <w:p w:rsidR="00827667" w:rsidRPr="00161062" w:rsidRDefault="00161062" w:rsidP="009E063A">
      <w:pPr>
        <w:jc w:val="center"/>
        <w:rPr>
          <w:b/>
          <w:sz w:val="40"/>
          <w:szCs w:val="40"/>
        </w:rPr>
      </w:pPr>
      <w:r>
        <w:rPr>
          <w:b/>
          <w:sz w:val="40"/>
          <w:szCs w:val="40"/>
        </w:rPr>
        <w:t xml:space="preserve">Needs Assessment and </w:t>
      </w:r>
      <w:r w:rsidR="00C75847" w:rsidRPr="00161062">
        <w:rPr>
          <w:b/>
          <w:sz w:val="40"/>
          <w:szCs w:val="40"/>
        </w:rPr>
        <w:t xml:space="preserve">Community </w:t>
      </w:r>
      <w:smartTag w:uri="urn:schemas-microsoft-com:office:smarttags" w:element="stockticker">
        <w:r w:rsidR="00C75847" w:rsidRPr="00161062">
          <w:rPr>
            <w:b/>
            <w:sz w:val="40"/>
            <w:szCs w:val="40"/>
          </w:rPr>
          <w:t>Plan</w:t>
        </w:r>
      </w:smartTag>
    </w:p>
    <w:p w:rsidR="005E2715" w:rsidRPr="00161062" w:rsidRDefault="0054134D" w:rsidP="009E063A">
      <w:pPr>
        <w:jc w:val="center"/>
        <w:rPr>
          <w:b/>
          <w:sz w:val="40"/>
          <w:szCs w:val="40"/>
        </w:rPr>
      </w:pPr>
      <w:r w:rsidRPr="00161062">
        <w:rPr>
          <w:b/>
          <w:sz w:val="40"/>
          <w:szCs w:val="40"/>
        </w:rPr>
        <w:t>2018 - 2022</w:t>
      </w:r>
    </w:p>
    <w:p w:rsidR="00CE07D2" w:rsidRDefault="00CE07D2" w:rsidP="005A0497"/>
    <w:p w:rsidR="00B83CF4" w:rsidRDefault="00B83CF4" w:rsidP="005A0497"/>
    <w:p w:rsidR="00B83CF4" w:rsidRDefault="00B83CF4" w:rsidP="005A0497"/>
    <w:p w:rsidR="00B83CF4" w:rsidRDefault="00B83CF4" w:rsidP="005A0497"/>
    <w:p w:rsidR="00B83CF4" w:rsidRDefault="00B83CF4" w:rsidP="005A0497"/>
    <w:p w:rsidR="00161062" w:rsidRPr="00827667" w:rsidRDefault="00161062" w:rsidP="005A0497"/>
    <w:p w:rsidR="005E2715" w:rsidRPr="00827667" w:rsidRDefault="005E2715" w:rsidP="005A0497">
      <w:pPr>
        <w:pBdr>
          <w:bottom w:val="single" w:sz="12" w:space="1" w:color="auto"/>
        </w:pBdr>
      </w:pPr>
    </w:p>
    <w:p w:rsidR="005E2715" w:rsidRPr="009E365A" w:rsidRDefault="0078686A" w:rsidP="005A0497">
      <w:r>
        <w:t>Laura Phipps</w:t>
      </w:r>
      <w:r w:rsidR="0061758E" w:rsidRPr="009E365A">
        <w:t>, Board Chair</w:t>
      </w:r>
    </w:p>
    <w:p w:rsidR="005E2715" w:rsidRPr="006842BB" w:rsidRDefault="006842BB" w:rsidP="005A0497">
      <w:r w:rsidRPr="006842BB">
        <w:rPr>
          <w:rFonts w:cs="Arial"/>
        </w:rPr>
        <w:t>Address:</w:t>
      </w:r>
      <w:r w:rsidRPr="006842BB">
        <w:t xml:space="preserve"> </w:t>
      </w:r>
      <w:r w:rsidR="007A646B">
        <w:t>900 W 3</w:t>
      </w:r>
      <w:r w:rsidR="007A646B" w:rsidRPr="00C97540">
        <w:rPr>
          <w:vertAlign w:val="superscript"/>
        </w:rPr>
        <w:t>rd</w:t>
      </w:r>
      <w:r w:rsidR="00ED76F6">
        <w:t xml:space="preserve">, </w:t>
      </w:r>
      <w:r w:rsidRPr="006842BB">
        <w:t>Boone, IA 50036</w:t>
      </w:r>
    </w:p>
    <w:p w:rsidR="006842BB" w:rsidRPr="006842BB" w:rsidRDefault="006842BB" w:rsidP="005A0497">
      <w:r w:rsidRPr="006842BB">
        <w:rPr>
          <w:rFonts w:cs="Tahoma"/>
        </w:rPr>
        <w:t xml:space="preserve">Phone: </w:t>
      </w:r>
      <w:r w:rsidRPr="006842BB">
        <w:t>515</w:t>
      </w:r>
      <w:r w:rsidR="009E365A">
        <w:t>-</w:t>
      </w:r>
      <w:r w:rsidR="007A646B">
        <w:t>433-4892</w:t>
      </w:r>
    </w:p>
    <w:p w:rsidR="009E063A" w:rsidRDefault="006842BB" w:rsidP="005A0497">
      <w:r w:rsidRPr="006842BB">
        <w:rPr>
          <w:rFonts w:cs="Tahoma"/>
          <w:color w:val="000000"/>
        </w:rPr>
        <w:t xml:space="preserve">E-mail Address:  </w:t>
      </w:r>
      <w:r w:rsidR="007A646B" w:rsidRPr="007A646B">
        <w:t xml:space="preserve">mkresse@boonecounty.iowa.gov </w:t>
      </w:r>
    </w:p>
    <w:p w:rsidR="009E063A" w:rsidRDefault="00C51E35" w:rsidP="00C51E35">
      <w:r>
        <w:t>Website: WWW//boostforchildren.org</w:t>
      </w:r>
      <w:r w:rsidR="009E063A">
        <w:br w:type="page"/>
      </w:r>
    </w:p>
    <w:p w:rsidR="005E2715" w:rsidRPr="00174155" w:rsidRDefault="005E2715" w:rsidP="005A0497"/>
    <w:p w:rsidR="0008719B" w:rsidRDefault="0008719B" w:rsidP="005A0497"/>
    <w:p w:rsidR="00A268A6" w:rsidRPr="009E063A" w:rsidRDefault="00A268A6" w:rsidP="009E063A">
      <w:pPr>
        <w:jc w:val="center"/>
        <w:rPr>
          <w:b/>
        </w:rPr>
      </w:pPr>
      <w:r w:rsidRPr="009E063A">
        <w:rPr>
          <w:b/>
        </w:rPr>
        <w:t>TABLE OF CONTENTS</w:t>
      </w:r>
    </w:p>
    <w:p w:rsidR="00070624" w:rsidRPr="00827667" w:rsidRDefault="00070624" w:rsidP="005A0497"/>
    <w:p w:rsidR="00070624" w:rsidRPr="00827667" w:rsidRDefault="00BD536D" w:rsidP="00161062">
      <w:pPr>
        <w:ind w:left="1620"/>
        <w:rPr>
          <w:i/>
        </w:rPr>
      </w:pPr>
      <w:r>
        <w:t>Section I:</w:t>
      </w:r>
      <w:r>
        <w:tab/>
      </w:r>
      <w:r w:rsidR="00070624" w:rsidRPr="00827667">
        <w:t>General Information</w:t>
      </w:r>
      <w:r w:rsidR="00174155">
        <w:tab/>
      </w:r>
      <w:r w:rsidR="00161062">
        <w:tab/>
      </w:r>
      <w:r w:rsidR="00161062">
        <w:tab/>
      </w:r>
      <w:r w:rsidR="00161062">
        <w:tab/>
      </w:r>
      <w:r w:rsidR="00C51E35">
        <w:tab/>
      </w:r>
      <w:r w:rsidR="00174155">
        <w:t xml:space="preserve">Page </w:t>
      </w:r>
      <w:r w:rsidR="00B57F8C">
        <w:t>3</w:t>
      </w:r>
    </w:p>
    <w:p w:rsidR="00EC1F6D" w:rsidRDefault="00070624" w:rsidP="00161062">
      <w:pPr>
        <w:ind w:left="1620"/>
      </w:pPr>
      <w:r w:rsidRPr="00827667">
        <w:rPr>
          <w:b/>
        </w:rPr>
        <w:tab/>
      </w:r>
      <w:r w:rsidR="00C51E35" w:rsidRPr="00C51E35">
        <w:t>BooSt</w:t>
      </w:r>
      <w:r w:rsidR="00C51E35">
        <w:rPr>
          <w:b/>
        </w:rPr>
        <w:t xml:space="preserve"> </w:t>
      </w:r>
      <w:r w:rsidR="00EC1F6D">
        <w:t xml:space="preserve">ECI </w:t>
      </w:r>
      <w:r w:rsidR="00EC1F6D" w:rsidRPr="00827667">
        <w:t xml:space="preserve">Area’s Vision and Mission </w:t>
      </w:r>
    </w:p>
    <w:p w:rsidR="00070624" w:rsidRPr="00827667" w:rsidRDefault="00EC1F6D" w:rsidP="00161062">
      <w:pPr>
        <w:ind w:left="1620"/>
        <w:rPr>
          <w:b/>
        </w:rPr>
      </w:pPr>
      <w:r>
        <w:tab/>
      </w:r>
      <w:r w:rsidR="00C51E35">
        <w:t>Purpose</w:t>
      </w:r>
      <w:r w:rsidR="00B571B6" w:rsidRPr="00827667">
        <w:t xml:space="preserve"> of </w:t>
      </w:r>
      <w:r w:rsidR="00174155">
        <w:t xml:space="preserve">BooSt </w:t>
      </w:r>
      <w:r w:rsidR="000F2F04">
        <w:t>Together for Children</w:t>
      </w:r>
      <w:r w:rsidR="00827667">
        <w:tab/>
      </w:r>
    </w:p>
    <w:p w:rsidR="000751EC" w:rsidRPr="00827667" w:rsidRDefault="00070624" w:rsidP="00161062">
      <w:pPr>
        <w:ind w:left="1620"/>
      </w:pPr>
      <w:r w:rsidRPr="00827667">
        <w:rPr>
          <w:b/>
        </w:rPr>
        <w:tab/>
      </w:r>
      <w:r w:rsidR="00E17B94" w:rsidRPr="00827667">
        <w:t xml:space="preserve">Use of the </w:t>
      </w:r>
      <w:r w:rsidR="00EF5DAF" w:rsidRPr="00827667">
        <w:t>Community Plan</w:t>
      </w:r>
      <w:r w:rsidR="000751EC" w:rsidRPr="00827667">
        <w:tab/>
      </w:r>
    </w:p>
    <w:p w:rsidR="008A3E1E" w:rsidRPr="00827667" w:rsidRDefault="003C3EC3" w:rsidP="00161062">
      <w:pPr>
        <w:ind w:left="1620"/>
      </w:pPr>
      <w:r w:rsidRPr="00827667">
        <w:tab/>
      </w:r>
      <w:r w:rsidR="00174155">
        <w:t xml:space="preserve">ECI </w:t>
      </w:r>
      <w:r w:rsidR="008A3E1E" w:rsidRPr="00827667">
        <w:t>Area Demographics</w:t>
      </w:r>
      <w:r w:rsidR="00EF5DAF" w:rsidRPr="00827667">
        <w:tab/>
      </w:r>
    </w:p>
    <w:p w:rsidR="00340A17" w:rsidRPr="00827667" w:rsidRDefault="00340A17" w:rsidP="00161062">
      <w:pPr>
        <w:ind w:left="1620"/>
      </w:pPr>
    </w:p>
    <w:p w:rsidR="00340A17" w:rsidRPr="00827667" w:rsidRDefault="00340A17" w:rsidP="00161062">
      <w:pPr>
        <w:ind w:left="1620"/>
      </w:pPr>
      <w:r w:rsidRPr="00827667">
        <w:t>Sectio</w:t>
      </w:r>
      <w:r w:rsidR="00BD536D">
        <w:t>n II:</w:t>
      </w:r>
      <w:r w:rsidR="00BD536D">
        <w:tab/>
      </w:r>
      <w:r w:rsidRPr="00827667">
        <w:t>Community Needs Assessment</w:t>
      </w:r>
      <w:r w:rsidR="00174155">
        <w:tab/>
      </w:r>
      <w:r w:rsidR="00161062">
        <w:tab/>
      </w:r>
      <w:r w:rsidR="00C51E35">
        <w:tab/>
      </w:r>
      <w:r w:rsidR="00174155">
        <w:t xml:space="preserve">Page </w:t>
      </w:r>
      <w:r w:rsidR="00E01DFB">
        <w:t>5</w:t>
      </w:r>
    </w:p>
    <w:p w:rsidR="00340A17" w:rsidRPr="00A70C0A" w:rsidRDefault="00340A17" w:rsidP="00161062">
      <w:pPr>
        <w:ind w:left="1620"/>
      </w:pPr>
      <w:r w:rsidRPr="00A70C0A">
        <w:tab/>
      </w:r>
      <w:r w:rsidR="00EF5DAF" w:rsidRPr="00A70C0A">
        <w:t xml:space="preserve">Development of the </w:t>
      </w:r>
      <w:r w:rsidR="00FD5B8D" w:rsidRPr="00A70C0A">
        <w:t>Community Needs Assessment</w:t>
      </w:r>
      <w:r w:rsidR="00A70C0A">
        <w:tab/>
      </w:r>
    </w:p>
    <w:p w:rsidR="00EF5DAF" w:rsidRPr="00A70C0A" w:rsidRDefault="00EF5DAF" w:rsidP="00161062">
      <w:pPr>
        <w:ind w:left="1620"/>
      </w:pPr>
      <w:r w:rsidRPr="00A70C0A">
        <w:tab/>
        <w:t xml:space="preserve">Analysis of </w:t>
      </w:r>
      <w:r w:rsidR="00C51E35">
        <w:t>the d</w:t>
      </w:r>
      <w:r w:rsidR="009E3F94" w:rsidRPr="00A70C0A">
        <w:t xml:space="preserve">ata </w:t>
      </w:r>
      <w:r w:rsidR="00C51E35">
        <w:t>c</w:t>
      </w:r>
      <w:r w:rsidRPr="00A70C0A">
        <w:t>ollected</w:t>
      </w:r>
      <w:r w:rsidR="00174155">
        <w:t xml:space="preserve"> and </w:t>
      </w:r>
      <w:r w:rsidR="00C51E35">
        <w:t>o</w:t>
      </w:r>
      <w:r w:rsidRPr="00A70C0A">
        <w:t xml:space="preserve">ther </w:t>
      </w:r>
      <w:r w:rsidR="00C51E35">
        <w:t>resources r</w:t>
      </w:r>
      <w:r w:rsidRPr="00A70C0A">
        <w:t>eviewed</w:t>
      </w:r>
      <w:r w:rsidR="00A70C0A">
        <w:tab/>
      </w:r>
    </w:p>
    <w:p w:rsidR="00130014" w:rsidRPr="00A70C0A" w:rsidRDefault="00340A17" w:rsidP="00161062">
      <w:pPr>
        <w:ind w:left="1620"/>
      </w:pPr>
      <w:r w:rsidRPr="00A70C0A">
        <w:tab/>
      </w:r>
      <w:r w:rsidR="00EF5DAF" w:rsidRPr="00A70C0A">
        <w:t xml:space="preserve">Priorities of the </w:t>
      </w:r>
      <w:r w:rsidR="005E2715" w:rsidRPr="00A70C0A">
        <w:t>ECI Area</w:t>
      </w:r>
      <w:r w:rsidR="00EF5DAF" w:rsidRPr="00A70C0A">
        <w:t xml:space="preserve"> Board</w:t>
      </w:r>
      <w:r w:rsidR="008A558B" w:rsidRPr="00A70C0A">
        <w:t xml:space="preserve"> and Analysis</w:t>
      </w:r>
      <w:r w:rsidR="00A70C0A">
        <w:tab/>
      </w:r>
    </w:p>
    <w:p w:rsidR="00EF5DAF" w:rsidRPr="00A70C0A" w:rsidRDefault="00EF5DAF" w:rsidP="00161062">
      <w:pPr>
        <w:ind w:left="1620"/>
      </w:pPr>
      <w:r w:rsidRPr="00A70C0A">
        <w:tab/>
      </w:r>
      <w:r w:rsidR="00AC5778">
        <w:t xml:space="preserve">Community-wide </w:t>
      </w:r>
      <w:r w:rsidRPr="00A70C0A">
        <w:t xml:space="preserve">Indicators </w:t>
      </w:r>
      <w:r w:rsidR="008A558B" w:rsidRPr="00A70C0A">
        <w:t>and Analysis</w:t>
      </w:r>
      <w:r w:rsidR="00A70C0A">
        <w:tab/>
      </w:r>
    </w:p>
    <w:p w:rsidR="008A558B" w:rsidRPr="00A70C0A" w:rsidRDefault="00A70C0A" w:rsidP="00161062">
      <w:pPr>
        <w:ind w:left="1620"/>
      </w:pPr>
      <w:r>
        <w:tab/>
      </w:r>
      <w:r w:rsidR="008A558B" w:rsidRPr="00A70C0A">
        <w:t xml:space="preserve">Strategies of the </w:t>
      </w:r>
      <w:r w:rsidR="00AC5778">
        <w:t xml:space="preserve">ECI </w:t>
      </w:r>
      <w:r w:rsidR="005E2715" w:rsidRPr="00A70C0A">
        <w:t>Area</w:t>
      </w:r>
      <w:r w:rsidR="008A558B" w:rsidRPr="00A70C0A">
        <w:t xml:space="preserve"> Board</w:t>
      </w:r>
      <w:r w:rsidR="008A558B" w:rsidRPr="00A70C0A">
        <w:tab/>
      </w:r>
    </w:p>
    <w:p w:rsidR="008A558B" w:rsidRPr="00A70C0A" w:rsidRDefault="008A558B" w:rsidP="00161062">
      <w:pPr>
        <w:ind w:left="1620"/>
      </w:pPr>
      <w:r w:rsidRPr="00A70C0A">
        <w:tab/>
        <w:t>Process for Awarding Funds</w:t>
      </w:r>
      <w:r w:rsidRPr="00A70C0A">
        <w:tab/>
      </w:r>
    </w:p>
    <w:p w:rsidR="00A70C0A" w:rsidRDefault="00A70C0A" w:rsidP="00161062">
      <w:pPr>
        <w:ind w:left="1620"/>
      </w:pPr>
    </w:p>
    <w:p w:rsidR="000A0068" w:rsidRPr="00827667" w:rsidRDefault="000A0068" w:rsidP="00161062">
      <w:pPr>
        <w:ind w:left="1620"/>
      </w:pPr>
      <w:r w:rsidRPr="00827667">
        <w:t xml:space="preserve">Section </w:t>
      </w:r>
      <w:smartTag w:uri="urn:schemas-microsoft-com:office:smarttags" w:element="stockticker">
        <w:r w:rsidRPr="00827667">
          <w:t>I</w:t>
        </w:r>
        <w:r w:rsidR="00737C6A" w:rsidRPr="00827667">
          <w:t>I</w:t>
        </w:r>
        <w:r w:rsidR="00BD536D">
          <w:t>I</w:t>
        </w:r>
      </w:smartTag>
      <w:r w:rsidR="00BD536D">
        <w:t>:</w:t>
      </w:r>
      <w:r w:rsidR="00BD536D">
        <w:tab/>
      </w:r>
      <w:r w:rsidR="008B507B" w:rsidRPr="00827667">
        <w:t>Fiscal Assessment</w:t>
      </w:r>
      <w:r w:rsidR="00174155">
        <w:tab/>
      </w:r>
      <w:r w:rsidR="00161062">
        <w:tab/>
      </w:r>
      <w:r w:rsidR="00161062">
        <w:tab/>
      </w:r>
      <w:r w:rsidR="00161062">
        <w:tab/>
      </w:r>
      <w:r w:rsidR="00C51E35">
        <w:tab/>
      </w:r>
      <w:r w:rsidR="00174155">
        <w:t>Page</w:t>
      </w:r>
      <w:r w:rsidR="008B507B" w:rsidRPr="00827667">
        <w:t xml:space="preserve"> </w:t>
      </w:r>
      <w:r w:rsidR="00AC5778">
        <w:t>1</w:t>
      </w:r>
      <w:r w:rsidR="00BF0A6C">
        <w:t>3</w:t>
      </w:r>
    </w:p>
    <w:p w:rsidR="00A70C0A" w:rsidRDefault="008B507B" w:rsidP="00161062">
      <w:pPr>
        <w:ind w:left="1620"/>
      </w:pPr>
      <w:r w:rsidRPr="00A70C0A">
        <w:tab/>
      </w:r>
      <w:r w:rsidR="005E2715" w:rsidRPr="00827667">
        <w:t xml:space="preserve">ECI Area </w:t>
      </w:r>
      <w:r w:rsidRPr="00827667">
        <w:t>Fiscal Assessment</w:t>
      </w:r>
      <w:r w:rsidR="00A70C0A">
        <w:tab/>
      </w:r>
    </w:p>
    <w:p w:rsidR="008B507B" w:rsidRPr="00827667" w:rsidRDefault="00A70C0A" w:rsidP="00161062">
      <w:pPr>
        <w:ind w:left="1620"/>
      </w:pPr>
      <w:r>
        <w:tab/>
        <w:t xml:space="preserve">ECI </w:t>
      </w:r>
      <w:r w:rsidR="008B507B" w:rsidRPr="00827667">
        <w:t xml:space="preserve">Area Fiscal </w:t>
      </w:r>
      <w:r w:rsidR="00161062">
        <w:t>Recommendations</w:t>
      </w:r>
      <w:r>
        <w:tab/>
      </w:r>
    </w:p>
    <w:p w:rsidR="008B507B" w:rsidRPr="00A70C0A" w:rsidRDefault="008F32C8" w:rsidP="00161062">
      <w:pPr>
        <w:ind w:left="1620"/>
      </w:pPr>
      <w:r w:rsidRPr="00827667">
        <w:tab/>
      </w:r>
    </w:p>
    <w:p w:rsidR="00737C6A" w:rsidRPr="00827667" w:rsidRDefault="00BD536D" w:rsidP="00161062">
      <w:pPr>
        <w:ind w:left="1620"/>
      </w:pPr>
      <w:r>
        <w:t>Section IV:</w:t>
      </w:r>
      <w:r>
        <w:tab/>
      </w:r>
      <w:r w:rsidR="008B507B" w:rsidRPr="00827667">
        <w:t>Community Collaboration</w:t>
      </w:r>
      <w:r w:rsidR="00174155">
        <w:tab/>
      </w:r>
      <w:r w:rsidR="00161062">
        <w:tab/>
      </w:r>
      <w:r w:rsidR="00161062">
        <w:tab/>
      </w:r>
      <w:r w:rsidR="00C51E35">
        <w:tab/>
      </w:r>
      <w:r w:rsidR="00174155">
        <w:t>Page</w:t>
      </w:r>
      <w:r w:rsidR="00AC5778">
        <w:t xml:space="preserve"> </w:t>
      </w:r>
      <w:r w:rsidR="00E01DFB">
        <w:t>15</w:t>
      </w:r>
    </w:p>
    <w:p w:rsidR="009F431C" w:rsidRPr="00827667" w:rsidRDefault="00A70C0A" w:rsidP="00161062">
      <w:pPr>
        <w:ind w:left="1620"/>
      </w:pPr>
      <w:r>
        <w:tab/>
      </w:r>
      <w:r w:rsidR="008B507B" w:rsidRPr="00827667">
        <w:t>Collaborative and Networking Opportunities</w:t>
      </w:r>
      <w:r w:rsidR="008B446D" w:rsidRPr="00827667">
        <w:tab/>
      </w:r>
    </w:p>
    <w:p w:rsidR="008B507B" w:rsidRPr="00827667" w:rsidRDefault="008B507B" w:rsidP="00161062">
      <w:pPr>
        <w:ind w:left="1620"/>
      </w:pPr>
    </w:p>
    <w:p w:rsidR="009F431C" w:rsidRPr="00827667" w:rsidRDefault="009F431C" w:rsidP="00161062">
      <w:pPr>
        <w:ind w:left="1620"/>
      </w:pPr>
      <w:r w:rsidRPr="00827667">
        <w:t>Section V:</w:t>
      </w:r>
      <w:r w:rsidR="00BD536D">
        <w:tab/>
      </w:r>
      <w:r w:rsidR="008B446D" w:rsidRPr="00827667">
        <w:t>R</w:t>
      </w:r>
      <w:r w:rsidRPr="00827667">
        <w:t>eview and Evaluation</w:t>
      </w:r>
      <w:r w:rsidR="00174155">
        <w:tab/>
      </w:r>
      <w:r w:rsidR="00161062">
        <w:tab/>
      </w:r>
      <w:r w:rsidR="00161062">
        <w:tab/>
      </w:r>
      <w:r w:rsidR="00C51E35">
        <w:tab/>
      </w:r>
      <w:r w:rsidR="00174155">
        <w:t>Page</w:t>
      </w:r>
      <w:r w:rsidR="00AC5778">
        <w:t xml:space="preserve"> </w:t>
      </w:r>
      <w:r w:rsidR="00E01DFB">
        <w:t>17</w:t>
      </w:r>
    </w:p>
    <w:p w:rsidR="00DC5159" w:rsidRPr="00827667" w:rsidRDefault="009F431C" w:rsidP="00161062">
      <w:pPr>
        <w:ind w:left="1620"/>
      </w:pPr>
      <w:r w:rsidRPr="00827667">
        <w:tab/>
      </w:r>
      <w:r w:rsidR="008B446D" w:rsidRPr="00827667">
        <w:t>Review and Evaluation M</w:t>
      </w:r>
      <w:r w:rsidRPr="00827667">
        <w:t>ethod</w:t>
      </w:r>
      <w:r w:rsidR="008B446D" w:rsidRPr="00827667">
        <w:t>s</w:t>
      </w:r>
      <w:r w:rsidR="00B40CD5" w:rsidRPr="00827667">
        <w:tab/>
      </w:r>
    </w:p>
    <w:p w:rsidR="00EE7F99" w:rsidRPr="00827667" w:rsidRDefault="00B40CD5" w:rsidP="00161062">
      <w:pPr>
        <w:ind w:left="1620"/>
      </w:pPr>
      <w:r w:rsidRPr="00827667">
        <w:tab/>
      </w:r>
    </w:p>
    <w:p w:rsidR="009E063A" w:rsidRDefault="009E063A">
      <w:pPr>
        <w:tabs>
          <w:tab w:val="clear" w:pos="900"/>
        </w:tabs>
        <w:spacing w:before="0" w:after="0"/>
      </w:pPr>
      <w:r>
        <w:br w:type="page"/>
      </w:r>
    </w:p>
    <w:p w:rsidR="00A70C0A" w:rsidRPr="000A63BB" w:rsidRDefault="00C06976" w:rsidP="009E063A">
      <w:pPr>
        <w:shd w:val="clear" w:color="auto" w:fill="C6D9F1" w:themeFill="text2" w:themeFillTint="33"/>
        <w:jc w:val="center"/>
        <w:rPr>
          <w:b/>
        </w:rPr>
      </w:pPr>
      <w:r w:rsidRPr="000A63BB">
        <w:rPr>
          <w:b/>
        </w:rPr>
        <w:lastRenderedPageBreak/>
        <w:t>Section I</w:t>
      </w:r>
    </w:p>
    <w:p w:rsidR="00C06976" w:rsidRPr="000A63BB" w:rsidRDefault="00C06976" w:rsidP="009E063A">
      <w:pPr>
        <w:shd w:val="clear" w:color="auto" w:fill="C6D9F1" w:themeFill="text2" w:themeFillTint="33"/>
        <w:jc w:val="center"/>
        <w:rPr>
          <w:b/>
        </w:rPr>
      </w:pPr>
      <w:r w:rsidRPr="000A63BB">
        <w:rPr>
          <w:b/>
        </w:rPr>
        <w:t>General Information</w:t>
      </w:r>
    </w:p>
    <w:p w:rsidR="00985EAB" w:rsidRPr="000F2F04" w:rsidRDefault="000F2F04" w:rsidP="000F2F04">
      <w:pPr>
        <w:jc w:val="center"/>
        <w:rPr>
          <w:b/>
          <w:sz w:val="28"/>
          <w:szCs w:val="28"/>
        </w:rPr>
      </w:pPr>
      <w:r>
        <w:rPr>
          <w:b/>
          <w:sz w:val="28"/>
          <w:szCs w:val="28"/>
        </w:rPr>
        <w:t xml:space="preserve">BooSt </w:t>
      </w:r>
      <w:r w:rsidR="00985EAB" w:rsidRPr="000F2F04">
        <w:rPr>
          <w:b/>
          <w:sz w:val="28"/>
          <w:szCs w:val="28"/>
        </w:rPr>
        <w:t>ECI Area Vision and Mission</w:t>
      </w:r>
    </w:p>
    <w:p w:rsidR="00985EAB" w:rsidRPr="00A371DC" w:rsidRDefault="00985EAB" w:rsidP="005A0497">
      <w:r w:rsidRPr="00A371DC">
        <w:rPr>
          <w:b/>
        </w:rPr>
        <w:t xml:space="preserve">Vision:  </w:t>
      </w:r>
      <w:r w:rsidRPr="00A371DC">
        <w:t xml:space="preserve">Every child in the BooSt Together for Children </w:t>
      </w:r>
      <w:r>
        <w:t>E</w:t>
      </w:r>
      <w:r w:rsidR="006B2097">
        <w:t xml:space="preserve">arly </w:t>
      </w:r>
      <w:r>
        <w:t>C</w:t>
      </w:r>
      <w:r w:rsidR="006B2097">
        <w:t xml:space="preserve">hildhood </w:t>
      </w:r>
      <w:r>
        <w:t>I</w:t>
      </w:r>
      <w:r w:rsidR="006B2097">
        <w:t>owa</w:t>
      </w:r>
      <w:r w:rsidRPr="00A371DC">
        <w:t xml:space="preserve"> Area will be healthy and successful</w:t>
      </w:r>
      <w:r>
        <w:t>.</w:t>
      </w:r>
    </w:p>
    <w:p w:rsidR="00985EAB" w:rsidRDefault="00985EAB" w:rsidP="005A0497">
      <w:pPr>
        <w:rPr>
          <w:b/>
        </w:rPr>
      </w:pPr>
      <w:r w:rsidRPr="00E5640F">
        <w:rPr>
          <w:b/>
        </w:rPr>
        <w:t>Mission</w:t>
      </w:r>
      <w:r>
        <w:rPr>
          <w:b/>
        </w:rPr>
        <w:t xml:space="preserve">: </w:t>
      </w:r>
      <w:r w:rsidRPr="00D60C8C">
        <w:t xml:space="preserve">The mission of the BooSt Together for Children Early Childhood Iowa Area is to improve the well-being of children birth </w:t>
      </w:r>
      <w:r>
        <w:t>through</w:t>
      </w:r>
      <w:r w:rsidRPr="00D60C8C">
        <w:t xml:space="preserve"> </w:t>
      </w:r>
      <w:r>
        <w:t>age five</w:t>
      </w:r>
      <w:r w:rsidRPr="00D60C8C">
        <w:t xml:space="preserve"> and their families</w:t>
      </w:r>
      <w:r>
        <w:t xml:space="preserve"> </w:t>
      </w:r>
      <w:r w:rsidR="00BC404D">
        <w:t>by</w:t>
      </w:r>
      <w:r>
        <w:t xml:space="preserve"> improving the quality and affordability of early care and education and family support services</w:t>
      </w:r>
      <w:r w:rsidRPr="005420E7">
        <w:rPr>
          <w:b/>
        </w:rPr>
        <w:t xml:space="preserve">. </w:t>
      </w:r>
    </w:p>
    <w:p w:rsidR="00630EC6" w:rsidRPr="007E217F" w:rsidRDefault="0054178B" w:rsidP="005A0497">
      <w:r w:rsidRPr="0054178B">
        <w:rPr>
          <w:b/>
        </w:rPr>
        <w:t>Location:</w:t>
      </w:r>
      <w:r w:rsidR="003C2571">
        <w:rPr>
          <w:b/>
        </w:rPr>
        <w:t xml:space="preserve"> </w:t>
      </w:r>
      <w:r w:rsidR="000F2F04" w:rsidRPr="000F2F04">
        <w:t xml:space="preserve">The </w:t>
      </w:r>
      <w:r w:rsidR="00C0500D" w:rsidRPr="007E217F">
        <w:t xml:space="preserve">BooSt Together for Children </w:t>
      </w:r>
      <w:r w:rsidR="008D66A1" w:rsidRPr="007E217F">
        <w:t xml:space="preserve">ECI Area </w:t>
      </w:r>
      <w:r w:rsidR="004F0BC4" w:rsidRPr="007E217F">
        <w:t xml:space="preserve">serves </w:t>
      </w:r>
      <w:r w:rsidR="00C0500D" w:rsidRPr="007E217F">
        <w:t>Boone and Story</w:t>
      </w:r>
      <w:r w:rsidR="00BC404D" w:rsidRPr="007E217F">
        <w:t xml:space="preserve"> C</w:t>
      </w:r>
      <w:r w:rsidR="004F0BC4" w:rsidRPr="007E217F">
        <w:t>ounties in central Iowa.</w:t>
      </w:r>
      <w:r w:rsidR="00174155" w:rsidRPr="007E217F">
        <w:t xml:space="preserve">  </w:t>
      </w:r>
      <w:r w:rsidR="00630EC6" w:rsidRPr="007E217F">
        <w:t xml:space="preserve">BooSt will use funds allocated to support to programs </w:t>
      </w:r>
      <w:r w:rsidR="009C6760" w:rsidRPr="007E217F">
        <w:t xml:space="preserve">and services that </w:t>
      </w:r>
      <w:r w:rsidR="00630EC6" w:rsidRPr="007E217F">
        <w:t xml:space="preserve">meet </w:t>
      </w:r>
      <w:r w:rsidR="009C6760" w:rsidRPr="007E217F">
        <w:t>the needs of children</w:t>
      </w:r>
      <w:r w:rsidR="001F3845" w:rsidRPr="007E217F">
        <w:t xml:space="preserve"> from birth through age five</w:t>
      </w:r>
      <w:r w:rsidR="009C6760" w:rsidRPr="007E217F">
        <w:t xml:space="preserve"> and their families </w:t>
      </w:r>
      <w:r w:rsidR="00630EC6" w:rsidRPr="007E217F">
        <w:t xml:space="preserve">throughout the </w:t>
      </w:r>
      <w:r w:rsidR="009C6760" w:rsidRPr="007E217F">
        <w:t>ECI Area</w:t>
      </w:r>
      <w:r w:rsidR="00630EC6" w:rsidRPr="007E217F">
        <w:t>.</w:t>
      </w:r>
      <w:r w:rsidR="00137C83" w:rsidRPr="007E217F">
        <w:t xml:space="preserve">  </w:t>
      </w:r>
      <w:r w:rsidR="001F3845" w:rsidRPr="007E217F">
        <w:t>Early Care and Education p</w:t>
      </w:r>
      <w:r w:rsidR="00137C83" w:rsidRPr="007E217F">
        <w:t xml:space="preserve">rograms and services </w:t>
      </w:r>
      <w:r w:rsidR="001F3845" w:rsidRPr="007E217F">
        <w:t>will</w:t>
      </w:r>
      <w:r w:rsidR="00137C83" w:rsidRPr="007E217F">
        <w:t xml:space="preserve"> be supported as allowable through the requirements outlined </w:t>
      </w:r>
      <w:r w:rsidR="001F3845" w:rsidRPr="007E217F">
        <w:t>by</w:t>
      </w:r>
      <w:r w:rsidR="00137C83" w:rsidRPr="007E217F">
        <w:t xml:space="preserve"> the </w:t>
      </w:r>
      <w:r w:rsidR="001F3845" w:rsidRPr="007E217F">
        <w:t>legislature</w:t>
      </w:r>
      <w:r w:rsidR="0071241E" w:rsidRPr="007E217F">
        <w:t xml:space="preserve"> </w:t>
      </w:r>
      <w:r w:rsidR="001F3845" w:rsidRPr="007E217F">
        <w:t>and</w:t>
      </w:r>
      <w:r w:rsidR="0071241E" w:rsidRPr="007E217F">
        <w:t xml:space="preserve"> through other funding sources that may be secured for local programming purposes.</w:t>
      </w:r>
    </w:p>
    <w:p w:rsidR="00D60C8C" w:rsidRPr="007E217F" w:rsidRDefault="0071241E" w:rsidP="005A0497">
      <w:r w:rsidRPr="007E217F">
        <w:t xml:space="preserve">It </w:t>
      </w:r>
      <w:r w:rsidR="00FF24E6" w:rsidRPr="007E217F">
        <w:t xml:space="preserve">is </w:t>
      </w:r>
      <w:r w:rsidRPr="007E217F">
        <w:t xml:space="preserve">the practice of the </w:t>
      </w:r>
      <w:r w:rsidR="00D60C8C" w:rsidRPr="007E217F">
        <w:t xml:space="preserve">BooSt </w:t>
      </w:r>
      <w:r w:rsidR="000F2F04">
        <w:t>ECI Area</w:t>
      </w:r>
      <w:r w:rsidR="00D60C8C" w:rsidRPr="007E217F">
        <w:t xml:space="preserve"> </w:t>
      </w:r>
      <w:r w:rsidRPr="007E217F">
        <w:t xml:space="preserve">Board to work toward ensuring access to programs and services for </w:t>
      </w:r>
      <w:r w:rsidR="00216B23">
        <w:t xml:space="preserve">all </w:t>
      </w:r>
      <w:r w:rsidRPr="007E217F">
        <w:t>eligible children and families.  The Board will address on a case by case basis when instances arise where children or families, or services for children or families, cross the ECI Area boundaries. The ECI Area Director participate</w:t>
      </w:r>
      <w:r w:rsidR="00FF24E6" w:rsidRPr="007E217F">
        <w:t>s</w:t>
      </w:r>
      <w:r w:rsidRPr="007E217F">
        <w:t xml:space="preserve"> in </w:t>
      </w:r>
      <w:r w:rsidR="00216B23">
        <w:t xml:space="preserve">statewide and </w:t>
      </w:r>
      <w:r w:rsidRPr="007E217F">
        <w:t xml:space="preserve">regional </w:t>
      </w:r>
      <w:r w:rsidR="00D60C8C" w:rsidRPr="007E217F">
        <w:t>ECI Directors Meeting</w:t>
      </w:r>
      <w:r w:rsidRPr="007E217F">
        <w:t>s</w:t>
      </w:r>
      <w:r w:rsidR="00D60C8C" w:rsidRPr="007E217F">
        <w:t xml:space="preserve"> to ensure cooperation and collaboration across </w:t>
      </w:r>
      <w:r w:rsidRPr="007E217F">
        <w:t>ECI Area boundaries</w:t>
      </w:r>
      <w:r w:rsidR="00D60C8C" w:rsidRPr="007E217F">
        <w:t>.</w:t>
      </w:r>
    </w:p>
    <w:p w:rsidR="00216B23" w:rsidRDefault="006109E4" w:rsidP="005A0497">
      <w:r w:rsidRPr="003C2571">
        <w:rPr>
          <w:b/>
        </w:rPr>
        <w:t xml:space="preserve">Use of the </w:t>
      </w:r>
      <w:r w:rsidR="00FC7718" w:rsidRPr="003C2571">
        <w:rPr>
          <w:b/>
        </w:rPr>
        <w:t>Community Plan</w:t>
      </w:r>
      <w:r w:rsidR="003C2571" w:rsidRPr="003C2571">
        <w:rPr>
          <w:b/>
        </w:rPr>
        <w:t>:</w:t>
      </w:r>
      <w:r w:rsidR="003C2571">
        <w:t xml:space="preserve"> </w:t>
      </w:r>
      <w:r w:rsidR="00766E2C" w:rsidRPr="007E217F">
        <w:t xml:space="preserve">The </w:t>
      </w:r>
      <w:r w:rsidR="00766E2C" w:rsidRPr="007E217F">
        <w:rPr>
          <w:i/>
        </w:rPr>
        <w:t>BooSt Together for Children Community Plan</w:t>
      </w:r>
      <w:r w:rsidR="00766E2C" w:rsidRPr="007E217F">
        <w:t xml:space="preserve"> reflects state and local goals that affect children </w:t>
      </w:r>
      <w:r w:rsidR="00216B23">
        <w:t>from birth through five</w:t>
      </w:r>
      <w:r w:rsidR="00766E2C" w:rsidRPr="007E217F">
        <w:t xml:space="preserve"> years of age.  This plan will guide the decisions of the ECI Area Board.  At a minimum, the BooSt ECI Area Board will review the Community Plan on an annual basis to make sure the needs in the community are being met and to identify if the community needs have changed.  Local ECI Area indicators will be updated annually for the ECI Area Board review, along with </w:t>
      </w:r>
      <w:r w:rsidR="00216B23">
        <w:t>progress reports</w:t>
      </w:r>
      <w:r w:rsidR="00766E2C" w:rsidRPr="007E217F">
        <w:t xml:space="preserve"> from </w:t>
      </w:r>
      <w:r w:rsidR="00216B23">
        <w:t xml:space="preserve">funded </w:t>
      </w:r>
      <w:r w:rsidR="00766E2C" w:rsidRPr="007E217F">
        <w:t xml:space="preserve">programs and services.  </w:t>
      </w:r>
    </w:p>
    <w:p w:rsidR="008D2B20" w:rsidRPr="007E217F" w:rsidRDefault="008D2B20" w:rsidP="005A0497">
      <w:r w:rsidRPr="007E217F">
        <w:t>Updates to the Community Plan will be shared with e</w:t>
      </w:r>
      <w:r w:rsidR="0039411E" w:rsidRPr="007E217F">
        <w:t>xisting community stakeholder groups</w:t>
      </w:r>
      <w:r w:rsidRPr="007E217F">
        <w:t xml:space="preserve"> in the ECI Area, as well as being posted on the ECI Area’s website for access by the public and community partners.</w:t>
      </w:r>
      <w:r w:rsidR="00BC593C" w:rsidRPr="007E217F">
        <w:t xml:space="preserve">  Through working collaboratively with community partners, the ECI Area will </w:t>
      </w:r>
      <w:r w:rsidR="00216B23">
        <w:t>work to improve the health and wellbeing of young children and their families</w:t>
      </w:r>
      <w:r w:rsidR="00BC593C" w:rsidRPr="007E217F">
        <w:t xml:space="preserve">.  </w:t>
      </w:r>
      <w:r w:rsidR="0039411E" w:rsidRPr="007E217F">
        <w:t xml:space="preserve"> </w:t>
      </w:r>
    </w:p>
    <w:p w:rsidR="00766E2C" w:rsidRPr="007E217F" w:rsidRDefault="00766E2C" w:rsidP="005A0497">
      <w:r w:rsidRPr="007E217F">
        <w:t xml:space="preserve">The most recent version of the Community Plan document will be posted on the ECI Area website to ensure members of the public have access to the information.  In addition, the Community Plan and all updates made to the plan will be shared with representatives of community stakeholder groups.   </w:t>
      </w:r>
    </w:p>
    <w:p w:rsidR="00216B23" w:rsidRDefault="003C2571" w:rsidP="005A0497">
      <w:r w:rsidRPr="003C2571">
        <w:rPr>
          <w:b/>
        </w:rPr>
        <w:t>ECI Area De</w:t>
      </w:r>
      <w:r w:rsidR="00EE054E">
        <w:rPr>
          <w:b/>
        </w:rPr>
        <w:t>scription</w:t>
      </w:r>
      <w:r w:rsidRPr="003C2571">
        <w:rPr>
          <w:b/>
        </w:rPr>
        <w:t>:</w:t>
      </w:r>
      <w:r>
        <w:t xml:space="preserve"> </w:t>
      </w:r>
      <w:r w:rsidR="00F10AAB" w:rsidRPr="007E217F">
        <w:t xml:space="preserve">Located in central Iowa, the BooSt ECI Area </w:t>
      </w:r>
      <w:r w:rsidR="002A59E6" w:rsidRPr="007E217F">
        <w:t xml:space="preserve">covers all of Boone and Story Counties.  The ECI Area encompasses 1,144 square miles, connected </w:t>
      </w:r>
      <w:r w:rsidR="00BC404D" w:rsidRPr="007E217F">
        <w:t>by</w:t>
      </w:r>
      <w:r w:rsidR="002A59E6" w:rsidRPr="007E217F">
        <w:t xml:space="preserve"> US Highway 30 which runs through both counties.  Boone County is divided by the Des Moines River</w:t>
      </w:r>
      <w:r w:rsidR="00862509" w:rsidRPr="007E217F">
        <w:t>, and is home to several transportation systems including the Union Pacific Railway.</w:t>
      </w:r>
      <w:r w:rsidR="00D878F9" w:rsidRPr="007E217F">
        <w:t xml:space="preserve">  </w:t>
      </w:r>
      <w:smartTag w:uri="urn:schemas-microsoft-com:office:smarttags" w:element="place">
        <w:smartTag w:uri="urn:schemas-microsoft-com:office:smarttags" w:element="PlaceName">
          <w:r w:rsidR="00D878F9" w:rsidRPr="007E217F">
            <w:t>Story</w:t>
          </w:r>
        </w:smartTag>
        <w:r w:rsidR="00D878F9" w:rsidRPr="007E217F">
          <w:t xml:space="preserve"> </w:t>
        </w:r>
        <w:smartTag w:uri="urn:schemas-microsoft-com:office:smarttags" w:element="PlaceName">
          <w:r w:rsidR="00D878F9" w:rsidRPr="007E217F">
            <w:t>County</w:t>
          </w:r>
        </w:smartTag>
      </w:smartTag>
      <w:r w:rsidR="00D878F9" w:rsidRPr="007E217F">
        <w:t xml:space="preserve"> is home to </w:t>
      </w:r>
      <w:smartTag w:uri="urn:schemas-microsoft-com:office:smarttags" w:element="place">
        <w:smartTag w:uri="urn:schemas-microsoft-com:office:smarttags" w:element="PlaceName">
          <w:r w:rsidR="00D878F9" w:rsidRPr="007E217F">
            <w:t>Iowa</w:t>
          </w:r>
        </w:smartTag>
        <w:r w:rsidR="00D878F9" w:rsidRPr="007E217F">
          <w:t xml:space="preserve"> </w:t>
        </w:r>
        <w:smartTag w:uri="urn:schemas-microsoft-com:office:smarttags" w:element="PlaceType">
          <w:r w:rsidR="00D878F9" w:rsidRPr="007E217F">
            <w:t>State</w:t>
          </w:r>
        </w:smartTag>
        <w:r w:rsidR="00D878F9" w:rsidRPr="007E217F">
          <w:t xml:space="preserve"> </w:t>
        </w:r>
        <w:smartTag w:uri="urn:schemas-microsoft-com:office:smarttags" w:element="PlaceType">
          <w:r w:rsidR="00D878F9" w:rsidRPr="007E217F">
            <w:t>University</w:t>
          </w:r>
        </w:smartTag>
      </w:smartTag>
      <w:r w:rsidR="00D878F9" w:rsidRPr="007E217F">
        <w:t xml:space="preserve">.  </w:t>
      </w:r>
      <w:r w:rsidR="00D975F5" w:rsidRPr="007E217F">
        <w:t xml:space="preserve">There are three hospitals located in the ECI Area, including </w:t>
      </w:r>
      <w:smartTag w:uri="urn:schemas-microsoft-com:office:smarttags" w:element="place">
        <w:smartTag w:uri="urn:schemas-microsoft-com:office:smarttags" w:element="PlaceName">
          <w:r w:rsidR="00D975F5" w:rsidRPr="007E217F">
            <w:t>Boone</w:t>
          </w:r>
        </w:smartTag>
        <w:r w:rsidR="00D975F5" w:rsidRPr="007E217F">
          <w:t xml:space="preserve"> </w:t>
        </w:r>
        <w:smartTag w:uri="urn:schemas-microsoft-com:office:smarttags" w:element="PlaceType">
          <w:r w:rsidR="00D975F5" w:rsidRPr="007E217F">
            <w:t>County</w:t>
          </w:r>
        </w:smartTag>
        <w:r w:rsidR="00D975F5" w:rsidRPr="007E217F">
          <w:t xml:space="preserve"> </w:t>
        </w:r>
        <w:smartTag w:uri="urn:schemas-microsoft-com:office:smarttags" w:element="PlaceType">
          <w:r w:rsidR="00D975F5" w:rsidRPr="007E217F">
            <w:t>Hospital</w:t>
          </w:r>
        </w:smartTag>
      </w:smartTag>
      <w:r w:rsidR="00D975F5" w:rsidRPr="007E217F">
        <w:t xml:space="preserve"> (Boone), </w:t>
      </w:r>
      <w:smartTag w:uri="urn:schemas-microsoft-com:office:smarttags" w:element="place">
        <w:smartTag w:uri="urn:schemas-microsoft-com:office:smarttags" w:element="PlaceName">
          <w:r w:rsidR="00D975F5" w:rsidRPr="007E217F">
            <w:t>Mary</w:t>
          </w:r>
        </w:smartTag>
        <w:r w:rsidR="00D975F5" w:rsidRPr="007E217F">
          <w:t xml:space="preserve"> </w:t>
        </w:r>
        <w:smartTag w:uri="urn:schemas-microsoft-com:office:smarttags" w:element="PlaceName">
          <w:r w:rsidR="00D975F5" w:rsidRPr="007E217F">
            <w:t>Greeley</w:t>
          </w:r>
        </w:smartTag>
        <w:r w:rsidR="00D975F5" w:rsidRPr="007E217F">
          <w:t xml:space="preserve"> </w:t>
        </w:r>
        <w:smartTag w:uri="urn:schemas-microsoft-com:office:smarttags" w:element="PlaceName">
          <w:r w:rsidR="00D975F5" w:rsidRPr="007E217F">
            <w:t>Medical</w:t>
          </w:r>
        </w:smartTag>
        <w:r w:rsidR="00D975F5" w:rsidRPr="007E217F">
          <w:t xml:space="preserve"> </w:t>
        </w:r>
        <w:smartTag w:uri="urn:schemas-microsoft-com:office:smarttags" w:element="PlaceType">
          <w:r w:rsidR="00D975F5" w:rsidRPr="007E217F">
            <w:t>Center</w:t>
          </w:r>
        </w:smartTag>
      </w:smartTag>
      <w:r w:rsidR="00D975F5" w:rsidRPr="007E217F">
        <w:t xml:space="preserve"> (</w:t>
      </w:r>
      <w:smartTag w:uri="urn:schemas-microsoft-com:office:smarttags" w:element="City">
        <w:smartTag w:uri="urn:schemas-microsoft-com:office:smarttags" w:element="place">
          <w:r w:rsidR="00D975F5" w:rsidRPr="007E217F">
            <w:t>Ames</w:t>
          </w:r>
        </w:smartTag>
      </w:smartTag>
      <w:r w:rsidR="00D975F5" w:rsidRPr="007E217F">
        <w:t xml:space="preserve">), and </w:t>
      </w:r>
      <w:smartTag w:uri="urn:schemas-microsoft-com:office:smarttags" w:element="place">
        <w:smartTag w:uri="urn:schemas-microsoft-com:office:smarttags" w:element="PlaceName">
          <w:r w:rsidR="00D975F5" w:rsidRPr="007E217F">
            <w:t>Story</w:t>
          </w:r>
        </w:smartTag>
        <w:r w:rsidR="00D975F5" w:rsidRPr="007E217F">
          <w:t xml:space="preserve"> </w:t>
        </w:r>
        <w:smartTag w:uri="urn:schemas-microsoft-com:office:smarttags" w:element="PlaceName">
          <w:r w:rsidR="00D975F5" w:rsidRPr="007E217F">
            <w:t>County</w:t>
          </w:r>
        </w:smartTag>
        <w:r w:rsidR="00D975F5" w:rsidRPr="007E217F">
          <w:t xml:space="preserve"> </w:t>
        </w:r>
        <w:smartTag w:uri="urn:schemas-microsoft-com:office:smarttags" w:element="PlaceName">
          <w:r w:rsidR="00D975F5" w:rsidRPr="007E217F">
            <w:t>Medical</w:t>
          </w:r>
        </w:smartTag>
        <w:r w:rsidR="00D975F5" w:rsidRPr="007E217F">
          <w:t xml:space="preserve"> </w:t>
        </w:r>
        <w:smartTag w:uri="urn:schemas-microsoft-com:office:smarttags" w:element="PlaceType">
          <w:r w:rsidR="00D975F5" w:rsidRPr="007E217F">
            <w:t>Center</w:t>
          </w:r>
        </w:smartTag>
      </w:smartTag>
      <w:r w:rsidR="00D975F5" w:rsidRPr="007E217F">
        <w:t xml:space="preserve"> (</w:t>
      </w:r>
      <w:smartTag w:uri="urn:schemas-microsoft-com:office:smarttags" w:element="State">
        <w:smartTag w:uri="urn:schemas-microsoft-com:office:smarttags" w:element="place">
          <w:r w:rsidR="00D975F5" w:rsidRPr="007E217F">
            <w:t>Nevada</w:t>
          </w:r>
        </w:smartTag>
      </w:smartTag>
      <w:r w:rsidR="00D975F5" w:rsidRPr="007E217F">
        <w:t xml:space="preserve">).  </w:t>
      </w:r>
    </w:p>
    <w:p w:rsidR="006366BB" w:rsidRPr="007E217F" w:rsidRDefault="003C2571" w:rsidP="003C2571">
      <w:pPr>
        <w:spacing w:after="0"/>
      </w:pPr>
      <w:r>
        <w:t xml:space="preserve">Communities include: </w:t>
      </w:r>
      <w:r w:rsidR="006366BB" w:rsidRPr="007E217F">
        <w:rPr>
          <w:i/>
          <w:u w:val="single"/>
        </w:rPr>
        <w:t>Boone County</w:t>
      </w:r>
      <w:r w:rsidR="006366BB" w:rsidRPr="007E217F">
        <w:t xml:space="preserve">:  Beaver, Berkley, Boone, Boxholm, Fraser, Luther, Madrid, Ogden, Pilot Mound, Sheldahl, Jordan, Logansport, Mackey, Moingona, and Zenorsville </w:t>
      </w:r>
    </w:p>
    <w:p w:rsidR="006366BB" w:rsidRPr="007E217F" w:rsidRDefault="006366BB" w:rsidP="005A0497">
      <w:smartTag w:uri="urn:schemas-microsoft-com:office:smarttags" w:element="place">
        <w:smartTag w:uri="urn:schemas-microsoft-com:office:smarttags" w:element="PlaceName">
          <w:r w:rsidRPr="007E217F">
            <w:rPr>
              <w:i/>
              <w:u w:val="single"/>
            </w:rPr>
            <w:t>Story</w:t>
          </w:r>
        </w:smartTag>
        <w:r w:rsidRPr="007E217F">
          <w:rPr>
            <w:i/>
            <w:u w:val="single"/>
          </w:rPr>
          <w:t xml:space="preserve"> </w:t>
        </w:r>
        <w:smartTag w:uri="urn:schemas-microsoft-com:office:smarttags" w:element="PlaceName">
          <w:r w:rsidRPr="007E217F">
            <w:rPr>
              <w:i/>
              <w:u w:val="single"/>
            </w:rPr>
            <w:t>County</w:t>
          </w:r>
        </w:smartTag>
      </w:smartTag>
      <w:r w:rsidRPr="007E217F">
        <w:t xml:space="preserve">:  </w:t>
      </w:r>
      <w:smartTag w:uri="urn:schemas-microsoft-com:office:smarttags" w:element="City">
        <w:smartTag w:uri="urn:schemas-microsoft-com:office:smarttags" w:element="place">
          <w:r w:rsidRPr="007E217F">
            <w:t>Ames</w:t>
          </w:r>
        </w:smartTag>
      </w:smartTag>
      <w:r w:rsidRPr="007E217F">
        <w:t xml:space="preserve">, </w:t>
      </w:r>
      <w:smartTag w:uri="urn:schemas-microsoft-com:office:smarttags" w:element="City">
        <w:smartTag w:uri="urn:schemas-microsoft-com:office:smarttags" w:element="place">
          <w:r w:rsidRPr="007E217F">
            <w:t>Cambridge</w:t>
          </w:r>
        </w:smartTag>
      </w:smartTag>
      <w:r w:rsidRPr="007E217F">
        <w:t xml:space="preserve">, Collins, Colo, Gilbert, Huxley, Kelley, Maxwell, </w:t>
      </w:r>
      <w:smartTag w:uri="urn:schemas-microsoft-com:office:smarttags" w:element="place">
        <w:smartTag w:uri="urn:schemas-microsoft-com:office:smarttags" w:element="City">
          <w:r w:rsidRPr="007E217F">
            <w:t>McCallsburg</w:t>
          </w:r>
        </w:smartTag>
        <w:r w:rsidRPr="007E217F">
          <w:t xml:space="preserve">, </w:t>
        </w:r>
        <w:smartTag w:uri="urn:schemas-microsoft-com:office:smarttags" w:element="State">
          <w:r w:rsidRPr="007E217F">
            <w:t>Nevada</w:t>
          </w:r>
        </w:smartTag>
      </w:smartTag>
      <w:r w:rsidRPr="007E217F">
        <w:t xml:space="preserve">, Roland, Sheldahl, Slater, </w:t>
      </w:r>
      <w:smartTag w:uri="urn:schemas-microsoft-com:office:smarttags" w:element="place">
        <w:smartTag w:uri="urn:schemas-microsoft-com:office:smarttags" w:element="PlaceName">
          <w:r w:rsidRPr="007E217F">
            <w:t>Story</w:t>
          </w:r>
        </w:smartTag>
        <w:r w:rsidRPr="007E217F">
          <w:t xml:space="preserve"> </w:t>
        </w:r>
        <w:smartTag w:uri="urn:schemas-microsoft-com:office:smarttags" w:element="PlaceName">
          <w:r w:rsidRPr="007E217F">
            <w:t>City</w:t>
          </w:r>
        </w:smartTag>
      </w:smartTag>
      <w:r w:rsidRPr="007E217F">
        <w:t xml:space="preserve">, and Zearing </w:t>
      </w:r>
    </w:p>
    <w:p w:rsidR="006366BB" w:rsidRPr="007E217F" w:rsidRDefault="006366BB" w:rsidP="005A0497">
      <w:r w:rsidRPr="007E217F">
        <w:t xml:space="preserve">There are eleven </w:t>
      </w:r>
      <w:r w:rsidR="00F638A3" w:rsidRPr="007E217F">
        <w:t xml:space="preserve">public </w:t>
      </w:r>
      <w:r w:rsidRPr="007E217F">
        <w:t xml:space="preserve">school districts located within </w:t>
      </w:r>
      <w:r w:rsidR="00F638A3" w:rsidRPr="007E217F">
        <w:t>the ECI Area</w:t>
      </w:r>
      <w:r w:rsidRPr="007E217F">
        <w:t xml:space="preserve">, including </w:t>
      </w:r>
      <w:smartTag w:uri="urn:schemas-microsoft-com:office:smarttags" w:element="City">
        <w:smartTag w:uri="urn:schemas-microsoft-com:office:smarttags" w:element="place">
          <w:r w:rsidRPr="007E217F">
            <w:t>Ames</w:t>
          </w:r>
        </w:smartTag>
      </w:smartTag>
      <w:r w:rsidRPr="007E217F">
        <w:t xml:space="preserve">, Boone, Collins-Maxwell, Colo-Nesco, </w:t>
      </w:r>
      <w:smartTag w:uri="urn:schemas-microsoft-com:office:smarttags" w:element="place">
        <w:smartTag w:uri="urn:schemas-microsoft-com:office:smarttags" w:element="City">
          <w:r w:rsidRPr="007E217F">
            <w:t>Ballard-Huxley</w:t>
          </w:r>
        </w:smartTag>
        <w:r w:rsidRPr="007E217F">
          <w:t xml:space="preserve">, </w:t>
        </w:r>
        <w:smartTag w:uri="urn:schemas-microsoft-com:office:smarttags" w:element="State">
          <w:r w:rsidRPr="007E217F">
            <w:t>Madrid</w:t>
          </w:r>
        </w:smartTag>
      </w:smartTag>
      <w:r w:rsidRPr="007E217F">
        <w:t xml:space="preserve">, </w:t>
      </w:r>
      <w:smartTag w:uri="urn:schemas-microsoft-com:office:smarttags" w:element="City">
        <w:smartTag w:uri="urn:schemas-microsoft-com:office:smarttags" w:element="place">
          <w:r w:rsidRPr="007E217F">
            <w:t>Ogden</w:t>
          </w:r>
        </w:smartTag>
      </w:smartTag>
      <w:r w:rsidRPr="007E217F">
        <w:t xml:space="preserve">, Roland-Story, </w:t>
      </w:r>
      <w:smartTag w:uri="urn:schemas-microsoft-com:office:smarttags" w:element="place">
        <w:smartTag w:uri="urn:schemas-microsoft-com:office:smarttags" w:element="City">
          <w:r w:rsidRPr="007E217F">
            <w:t>Gilbert</w:t>
          </w:r>
        </w:smartTag>
        <w:r w:rsidRPr="007E217F">
          <w:t xml:space="preserve">, </w:t>
        </w:r>
        <w:smartTag w:uri="urn:schemas-microsoft-com:office:smarttags" w:element="State">
          <w:r w:rsidRPr="007E217F">
            <w:t>Nevada</w:t>
          </w:r>
        </w:smartTag>
      </w:smartTag>
      <w:r w:rsidRPr="007E217F">
        <w:t xml:space="preserve">, and United.  </w:t>
      </w:r>
      <w:r w:rsidR="00F638A3" w:rsidRPr="007E217F">
        <w:t xml:space="preserve">Four </w:t>
      </w:r>
      <w:r w:rsidRPr="007E217F">
        <w:t>additional school districts have small catchments areas within the boundaries of the BooSt ECI Area</w:t>
      </w:r>
      <w:r w:rsidR="00F638A3" w:rsidRPr="007E217F">
        <w:t xml:space="preserve"> - North Polk, Southeast Webster - Grand, West Marshall, and Woodward Granger</w:t>
      </w:r>
      <w:r w:rsidRPr="007E217F">
        <w:t>.</w:t>
      </w:r>
      <w:r w:rsidR="00F638A3" w:rsidRPr="007E217F">
        <w:t xml:space="preserve">  </w:t>
      </w:r>
      <w:r w:rsidR="005420E7" w:rsidRPr="007E217F">
        <w:t xml:space="preserve">All public schools within the ECI Area have preschool programs.  </w:t>
      </w:r>
      <w:r w:rsidR="00F638A3" w:rsidRPr="007E217F">
        <w:t xml:space="preserve">There are also four private schools in the ECI Area </w:t>
      </w:r>
      <w:r w:rsidR="005420E7" w:rsidRPr="007E217F">
        <w:t xml:space="preserve">that have preschool programs </w:t>
      </w:r>
      <w:r w:rsidR="00F638A3" w:rsidRPr="007E217F">
        <w:t xml:space="preserve">- </w:t>
      </w:r>
      <w:smartTag w:uri="urn:schemas-microsoft-com:office:smarttags" w:element="place">
        <w:smartTag w:uri="urn:schemas-microsoft-com:office:smarttags" w:element="PlaceName">
          <w:r w:rsidR="00F638A3" w:rsidRPr="007E217F">
            <w:t>Ames</w:t>
          </w:r>
        </w:smartTag>
        <w:r w:rsidR="00F638A3" w:rsidRPr="007E217F">
          <w:t xml:space="preserve"> </w:t>
        </w:r>
        <w:smartTag w:uri="urn:schemas-microsoft-com:office:smarttags" w:element="PlaceName">
          <w:r w:rsidR="00F638A3" w:rsidRPr="007E217F">
            <w:t>Christian</w:t>
          </w:r>
        </w:smartTag>
        <w:r w:rsidR="00F638A3" w:rsidRPr="007E217F">
          <w:t xml:space="preserve"> </w:t>
        </w:r>
        <w:smartTag w:uri="urn:schemas-microsoft-com:office:smarttags" w:element="PlaceName">
          <w:r w:rsidR="00F638A3" w:rsidRPr="007E217F">
            <w:t>School</w:t>
          </w:r>
        </w:smartTag>
      </w:smartTag>
      <w:r w:rsidR="00F638A3" w:rsidRPr="007E217F">
        <w:t xml:space="preserve"> (</w:t>
      </w:r>
      <w:smartTag w:uri="urn:schemas-microsoft-com:office:smarttags" w:element="City">
        <w:smartTag w:uri="urn:schemas-microsoft-com:office:smarttags" w:element="place">
          <w:r w:rsidR="00F638A3" w:rsidRPr="007E217F">
            <w:t>Ames</w:t>
          </w:r>
        </w:smartTag>
      </w:smartTag>
      <w:r w:rsidR="009B5536" w:rsidRPr="007E217F">
        <w:t>), Sacred Heart (Boone), St. Cecilia</w:t>
      </w:r>
      <w:r w:rsidR="00F638A3" w:rsidRPr="007E217F">
        <w:t xml:space="preserve"> (Ames), and Trinity Lutheran (Boone).</w:t>
      </w:r>
      <w:r w:rsidRPr="007E217F">
        <w:t xml:space="preserve">  </w:t>
      </w:r>
    </w:p>
    <w:p w:rsidR="006366BB" w:rsidRPr="007E217F" w:rsidRDefault="00EE054E" w:rsidP="005A0497">
      <w:r w:rsidRPr="003C2571">
        <w:rPr>
          <w:b/>
        </w:rPr>
        <w:t>ECI Area Demographics:</w:t>
      </w:r>
      <w:r>
        <w:t xml:space="preserve"> </w:t>
      </w:r>
      <w:r w:rsidR="004719AA" w:rsidRPr="009D758C">
        <w:t>American Community Survey</w:t>
      </w:r>
      <w:r w:rsidR="004719AA" w:rsidRPr="007E217F">
        <w:t xml:space="preserve"> </w:t>
      </w:r>
      <w:r w:rsidR="004719AA">
        <w:t>(</w:t>
      </w:r>
      <w:r w:rsidR="00216B23">
        <w:t>ACS</w:t>
      </w:r>
      <w:r w:rsidR="004719AA">
        <w:t>)</w:t>
      </w:r>
      <w:r w:rsidR="00BC404D" w:rsidRPr="007E217F">
        <w:t xml:space="preserve"> data from 2016</w:t>
      </w:r>
      <w:r w:rsidR="006366BB" w:rsidRPr="007E217F">
        <w:t xml:space="preserve"> in</w:t>
      </w:r>
      <w:r w:rsidR="008442EC" w:rsidRPr="007E217F">
        <w:t>dica</w:t>
      </w:r>
      <w:r w:rsidR="00216B23">
        <w:t xml:space="preserve">tes a total population of </w:t>
      </w:r>
      <w:r w:rsidR="007E78AF">
        <w:t>121,245</w:t>
      </w:r>
      <w:r w:rsidR="008442EC" w:rsidRPr="007E217F">
        <w:t xml:space="preserve"> in the two-county </w:t>
      </w:r>
      <w:r>
        <w:t xml:space="preserve">BooSt </w:t>
      </w:r>
      <w:r w:rsidR="008442EC" w:rsidRPr="007E217F">
        <w:t xml:space="preserve">ECI Area, an increase of </w:t>
      </w:r>
      <w:r w:rsidR="00216B23">
        <w:t>6.7</w:t>
      </w:r>
      <w:r w:rsidR="006366BB" w:rsidRPr="007E217F">
        <w:t>% compared to 20</w:t>
      </w:r>
      <w:r w:rsidR="008442EC" w:rsidRPr="007E217F">
        <w:t>10.</w:t>
      </w:r>
      <w:r w:rsidR="006366BB" w:rsidRPr="007E217F">
        <w:t xml:space="preserve"> </w:t>
      </w:r>
      <w:r w:rsidR="0054134D" w:rsidRPr="007E217F">
        <w:t>(</w:t>
      </w:r>
      <w:r w:rsidR="006366BB" w:rsidRPr="007E217F">
        <w:t xml:space="preserve">Boone County’s population increased by </w:t>
      </w:r>
      <w:r w:rsidR="008442EC" w:rsidRPr="007E217F">
        <w:t>1</w:t>
      </w:r>
      <w:r w:rsidR="006366BB" w:rsidRPr="007E217F">
        <w:t>%, while Story Cou</w:t>
      </w:r>
      <w:r w:rsidR="008442EC" w:rsidRPr="007E217F">
        <w:t>nty’s population increased 18</w:t>
      </w:r>
      <w:r w:rsidR="0054134D" w:rsidRPr="007E217F">
        <w:t>%)</w:t>
      </w:r>
      <w:r w:rsidR="006366BB" w:rsidRPr="007E217F">
        <w:t xml:space="preserve">  The ECI Area is primarily r</w:t>
      </w:r>
      <w:r w:rsidR="006B2097" w:rsidRPr="007E217F">
        <w:t>ural areas s</w:t>
      </w:r>
      <w:r w:rsidR="006366BB" w:rsidRPr="007E217F">
        <w:t>u</w:t>
      </w:r>
      <w:r w:rsidR="006B2097" w:rsidRPr="007E217F">
        <w:t>rrou</w:t>
      </w:r>
      <w:r w:rsidR="006366BB" w:rsidRPr="007E217F">
        <w:t xml:space="preserve">nding the two population centers of Boone and Ames.  These two cities represent over </w:t>
      </w:r>
      <w:r w:rsidR="00216B23">
        <w:t>64</w:t>
      </w:r>
      <w:r w:rsidR="006366BB" w:rsidRPr="007E217F">
        <w:t>% of the total ECI Area population.  Des Moines Area Community College has campus</w:t>
      </w:r>
      <w:r w:rsidR="004018E5">
        <w:t>es</w:t>
      </w:r>
      <w:r w:rsidR="006366BB" w:rsidRPr="007E217F">
        <w:t xml:space="preserve"> located in Boone</w:t>
      </w:r>
      <w:r w:rsidR="0054134D" w:rsidRPr="007E217F">
        <w:t xml:space="preserve"> and Ames</w:t>
      </w:r>
      <w:r w:rsidR="00E67EC7" w:rsidRPr="007E217F">
        <w:t xml:space="preserve">, and </w:t>
      </w:r>
      <w:r w:rsidR="006366BB" w:rsidRPr="007E217F">
        <w:t xml:space="preserve">Iowa State University is located in Ames, </w:t>
      </w:r>
      <w:r w:rsidR="00990931" w:rsidRPr="007E217F">
        <w:t>both</w:t>
      </w:r>
      <w:r w:rsidR="006366BB" w:rsidRPr="007E217F">
        <w:t xml:space="preserve"> have </w:t>
      </w:r>
      <w:r w:rsidR="00990931" w:rsidRPr="007E217F">
        <w:t>a positive</w:t>
      </w:r>
      <w:r w:rsidR="006366BB" w:rsidRPr="007E217F">
        <w:t xml:space="preserve"> impact on the </w:t>
      </w:r>
      <w:r w:rsidR="00990931" w:rsidRPr="007E217F">
        <w:t>economic vitality</w:t>
      </w:r>
      <w:r w:rsidR="006366BB" w:rsidRPr="007E217F">
        <w:t xml:space="preserve"> of </w:t>
      </w:r>
      <w:r w:rsidR="00506199">
        <w:t xml:space="preserve">the </w:t>
      </w:r>
      <w:r w:rsidR="006366BB" w:rsidRPr="007E217F">
        <w:t>ECI Area.</w:t>
      </w:r>
      <w:r w:rsidR="000B3495" w:rsidRPr="007E217F">
        <w:t xml:space="preserve"> </w:t>
      </w:r>
    </w:p>
    <w:tbl>
      <w:tblPr>
        <w:tblW w:w="9794" w:type="dxa"/>
        <w:tblInd w:w="108" w:type="dxa"/>
        <w:tblLook w:val="04A0"/>
      </w:tblPr>
      <w:tblGrid>
        <w:gridCol w:w="1170"/>
        <w:gridCol w:w="931"/>
        <w:gridCol w:w="931"/>
        <w:gridCol w:w="1084"/>
        <w:gridCol w:w="932"/>
        <w:gridCol w:w="785"/>
        <w:gridCol w:w="1155"/>
        <w:gridCol w:w="863"/>
        <w:gridCol w:w="944"/>
        <w:gridCol w:w="999"/>
      </w:tblGrid>
      <w:tr w:rsidR="006366BB" w:rsidRPr="00BC04BA" w:rsidTr="006F1CBA">
        <w:trPr>
          <w:trHeight w:val="70"/>
        </w:trPr>
        <w:tc>
          <w:tcPr>
            <w:tcW w:w="979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366BB" w:rsidRDefault="006366BB" w:rsidP="005A0497">
            <w:r>
              <w:t xml:space="preserve">Race and Ethnicity </w:t>
            </w:r>
            <w:r w:rsidRPr="00BC04BA">
              <w:t xml:space="preserve">Data for </w:t>
            </w:r>
            <w:r>
              <w:t>the BooSt Together for Children ECI Area</w:t>
            </w:r>
          </w:p>
          <w:p w:rsidR="006366BB" w:rsidRPr="00BC04BA" w:rsidRDefault="006366BB" w:rsidP="005A0497">
            <w:r w:rsidRPr="00BC04BA">
              <w:t>(reflects totals for Boone &amp; Story Counties</w:t>
            </w:r>
            <w:r w:rsidR="00916636">
              <w:t>-ACS 2010-16</w:t>
            </w:r>
            <w:r w:rsidRPr="00BC04BA">
              <w:t>)</w:t>
            </w:r>
          </w:p>
        </w:tc>
      </w:tr>
      <w:tr w:rsidR="007E1EFA" w:rsidRPr="00AB1558" w:rsidTr="0054178B">
        <w:trPr>
          <w:trHeight w:val="1412"/>
        </w:trPr>
        <w:tc>
          <w:tcPr>
            <w:tcW w:w="1100" w:type="dxa"/>
            <w:tcBorders>
              <w:top w:val="single" w:sz="4" w:space="0" w:color="auto"/>
              <w:left w:val="single" w:sz="4" w:space="0" w:color="auto"/>
              <w:bottom w:val="single" w:sz="4" w:space="0" w:color="auto"/>
              <w:right w:val="single" w:sz="4" w:space="0" w:color="auto"/>
            </w:tcBorders>
          </w:tcPr>
          <w:p w:rsidR="007E1EFA" w:rsidRPr="00AB1558" w:rsidRDefault="007E1EFA" w:rsidP="005A0497"/>
        </w:tc>
        <w:tc>
          <w:tcPr>
            <w:tcW w:w="809" w:type="dxa"/>
            <w:tcBorders>
              <w:top w:val="single" w:sz="4" w:space="0" w:color="auto"/>
              <w:left w:val="single" w:sz="4" w:space="0" w:color="auto"/>
              <w:bottom w:val="single" w:sz="4"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Total</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White</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Black/ African American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Am</w:t>
            </w:r>
            <w:r w:rsidR="007A01D5" w:rsidRPr="0054178B">
              <w:rPr>
                <w:sz w:val="22"/>
                <w:szCs w:val="22"/>
              </w:rPr>
              <w:t xml:space="preserve">. </w:t>
            </w:r>
            <w:r w:rsidRPr="0054178B">
              <w:rPr>
                <w:sz w:val="22"/>
                <w:szCs w:val="22"/>
              </w:rPr>
              <w:t>Indian &amp; Alaska Native</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Asian</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Nat</w:t>
            </w:r>
            <w:r w:rsidR="007A01D5" w:rsidRPr="0054178B">
              <w:rPr>
                <w:sz w:val="22"/>
                <w:szCs w:val="22"/>
              </w:rPr>
              <w:t>.</w:t>
            </w:r>
            <w:r w:rsidRPr="0054178B">
              <w:rPr>
                <w:sz w:val="22"/>
                <w:szCs w:val="22"/>
              </w:rPr>
              <w:t xml:space="preserve"> Hawaiian &amp; Pacific Islander</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Some Other Race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Two or More Races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Hispanic or Latino</w:t>
            </w:r>
          </w:p>
        </w:tc>
      </w:tr>
      <w:tr w:rsidR="007E1EFA" w:rsidRPr="00AB1558" w:rsidTr="0054178B">
        <w:trPr>
          <w:trHeight w:val="440"/>
        </w:trPr>
        <w:tc>
          <w:tcPr>
            <w:tcW w:w="1100" w:type="dxa"/>
            <w:tcBorders>
              <w:top w:val="single" w:sz="4" w:space="0" w:color="auto"/>
              <w:left w:val="single" w:sz="4" w:space="0" w:color="auto"/>
              <w:bottom w:val="double" w:sz="6" w:space="0" w:color="auto"/>
              <w:right w:val="single" w:sz="4" w:space="0" w:color="auto"/>
            </w:tcBorders>
          </w:tcPr>
          <w:p w:rsidR="007E1EFA" w:rsidRPr="0054178B" w:rsidRDefault="007E1EFA" w:rsidP="005A0497">
            <w:pPr>
              <w:rPr>
                <w:sz w:val="22"/>
                <w:szCs w:val="22"/>
              </w:rPr>
            </w:pPr>
            <w:r w:rsidRPr="0054178B">
              <w:rPr>
                <w:sz w:val="22"/>
                <w:szCs w:val="22"/>
              </w:rPr>
              <w:t>Population</w:t>
            </w:r>
          </w:p>
        </w:tc>
        <w:tc>
          <w:tcPr>
            <w:tcW w:w="809" w:type="dxa"/>
            <w:tcBorders>
              <w:top w:val="single" w:sz="4" w:space="0" w:color="auto"/>
              <w:left w:val="single" w:sz="4" w:space="0" w:color="auto"/>
              <w:bottom w:val="double" w:sz="6"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121,245</w:t>
            </w:r>
          </w:p>
        </w:tc>
        <w:tc>
          <w:tcPr>
            <w:tcW w:w="809" w:type="dxa"/>
            <w:tcBorders>
              <w:top w:val="single" w:sz="4" w:space="0" w:color="auto"/>
              <w:left w:val="single" w:sz="4" w:space="0" w:color="auto"/>
              <w:bottom w:val="double" w:sz="6"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108,658</w:t>
            </w:r>
          </w:p>
        </w:tc>
        <w:tc>
          <w:tcPr>
            <w:tcW w:w="972" w:type="dxa"/>
            <w:tcBorders>
              <w:top w:val="single" w:sz="4" w:space="0" w:color="auto"/>
              <w:left w:val="single" w:sz="4" w:space="0" w:color="auto"/>
              <w:bottom w:val="double" w:sz="6"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2,460</w:t>
            </w:r>
          </w:p>
        </w:tc>
        <w:tc>
          <w:tcPr>
            <w:tcW w:w="1080" w:type="dxa"/>
            <w:tcBorders>
              <w:top w:val="single" w:sz="4" w:space="0" w:color="auto"/>
              <w:left w:val="single" w:sz="4" w:space="0" w:color="auto"/>
              <w:bottom w:val="double" w:sz="6"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244</w:t>
            </w:r>
          </w:p>
        </w:tc>
        <w:tc>
          <w:tcPr>
            <w:tcW w:w="688" w:type="dxa"/>
            <w:tcBorders>
              <w:top w:val="single" w:sz="4" w:space="0" w:color="auto"/>
              <w:left w:val="single" w:sz="4" w:space="0" w:color="auto"/>
              <w:bottom w:val="double" w:sz="6"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6,559</w:t>
            </w:r>
          </w:p>
        </w:tc>
        <w:tc>
          <w:tcPr>
            <w:tcW w:w="1292" w:type="dxa"/>
            <w:tcBorders>
              <w:top w:val="single" w:sz="4" w:space="0" w:color="auto"/>
              <w:left w:val="single" w:sz="4" w:space="0" w:color="auto"/>
              <w:bottom w:val="double" w:sz="6"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40</w:t>
            </w:r>
          </w:p>
        </w:tc>
        <w:tc>
          <w:tcPr>
            <w:tcW w:w="974" w:type="dxa"/>
            <w:tcBorders>
              <w:top w:val="single" w:sz="4" w:space="0" w:color="auto"/>
              <w:left w:val="single" w:sz="4" w:space="0" w:color="auto"/>
              <w:bottom w:val="double" w:sz="6"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364</w:t>
            </w:r>
          </w:p>
        </w:tc>
        <w:tc>
          <w:tcPr>
            <w:tcW w:w="1170" w:type="dxa"/>
            <w:tcBorders>
              <w:top w:val="single" w:sz="4" w:space="0" w:color="auto"/>
              <w:left w:val="single" w:sz="4" w:space="0" w:color="auto"/>
              <w:bottom w:val="double" w:sz="6"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2,893</w:t>
            </w:r>
          </w:p>
        </w:tc>
        <w:tc>
          <w:tcPr>
            <w:tcW w:w="900" w:type="dxa"/>
            <w:tcBorders>
              <w:top w:val="single" w:sz="4" w:space="0" w:color="auto"/>
              <w:left w:val="single" w:sz="4" w:space="0" w:color="auto"/>
              <w:bottom w:val="double" w:sz="6"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3,616</w:t>
            </w:r>
          </w:p>
        </w:tc>
      </w:tr>
      <w:tr w:rsidR="007E1EFA" w:rsidRPr="00AB1558" w:rsidTr="0054178B">
        <w:trPr>
          <w:trHeight w:val="342"/>
        </w:trPr>
        <w:tc>
          <w:tcPr>
            <w:tcW w:w="1100" w:type="dxa"/>
            <w:tcBorders>
              <w:top w:val="nil"/>
              <w:left w:val="single" w:sz="4" w:space="0" w:color="auto"/>
              <w:bottom w:val="single" w:sz="4" w:space="0" w:color="auto"/>
              <w:right w:val="single" w:sz="4" w:space="0" w:color="auto"/>
            </w:tcBorders>
          </w:tcPr>
          <w:p w:rsidR="007E1EFA" w:rsidRPr="0054178B" w:rsidRDefault="007E1EFA" w:rsidP="005A0497">
            <w:pPr>
              <w:rPr>
                <w:sz w:val="22"/>
                <w:szCs w:val="22"/>
              </w:rPr>
            </w:pPr>
            <w:r w:rsidRPr="0054178B">
              <w:rPr>
                <w:sz w:val="22"/>
                <w:szCs w:val="22"/>
              </w:rPr>
              <w:t>Percent</w:t>
            </w:r>
          </w:p>
        </w:tc>
        <w:tc>
          <w:tcPr>
            <w:tcW w:w="809" w:type="dxa"/>
            <w:tcBorders>
              <w:top w:val="double" w:sz="6" w:space="0" w:color="auto"/>
              <w:left w:val="single" w:sz="4" w:space="0" w:color="auto"/>
              <w:bottom w:val="single" w:sz="4"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 </w:t>
            </w:r>
          </w:p>
        </w:tc>
        <w:tc>
          <w:tcPr>
            <w:tcW w:w="809" w:type="dxa"/>
            <w:tcBorders>
              <w:top w:val="double" w:sz="6" w:space="0" w:color="auto"/>
              <w:left w:val="single" w:sz="4" w:space="0" w:color="auto"/>
              <w:bottom w:val="single" w:sz="4"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89.62%</w:t>
            </w:r>
          </w:p>
        </w:tc>
        <w:tc>
          <w:tcPr>
            <w:tcW w:w="972" w:type="dxa"/>
            <w:tcBorders>
              <w:top w:val="double" w:sz="6" w:space="0" w:color="auto"/>
              <w:left w:val="single" w:sz="4" w:space="0" w:color="auto"/>
              <w:bottom w:val="single" w:sz="4"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2.03%</w:t>
            </w:r>
          </w:p>
        </w:tc>
        <w:tc>
          <w:tcPr>
            <w:tcW w:w="1080" w:type="dxa"/>
            <w:tcBorders>
              <w:top w:val="double" w:sz="6" w:space="0" w:color="auto"/>
              <w:left w:val="single" w:sz="4" w:space="0" w:color="auto"/>
              <w:bottom w:val="single" w:sz="4"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0.20%</w:t>
            </w:r>
          </w:p>
        </w:tc>
        <w:tc>
          <w:tcPr>
            <w:tcW w:w="688" w:type="dxa"/>
            <w:tcBorders>
              <w:top w:val="double" w:sz="6" w:space="0" w:color="auto"/>
              <w:left w:val="single" w:sz="4" w:space="0" w:color="auto"/>
              <w:bottom w:val="single" w:sz="4" w:space="0" w:color="auto"/>
              <w:right w:val="single" w:sz="4" w:space="0" w:color="auto"/>
            </w:tcBorders>
            <w:shd w:val="clear" w:color="auto" w:fill="auto"/>
          </w:tcPr>
          <w:p w:rsidR="007E1EFA" w:rsidRPr="0054178B" w:rsidRDefault="00916636" w:rsidP="005A0497">
            <w:pPr>
              <w:rPr>
                <w:sz w:val="22"/>
                <w:szCs w:val="22"/>
              </w:rPr>
            </w:pPr>
            <w:r w:rsidRPr="0054178B">
              <w:rPr>
                <w:sz w:val="22"/>
                <w:szCs w:val="22"/>
              </w:rPr>
              <w:t>5.41</w:t>
            </w:r>
            <w:r w:rsidR="007E1EFA" w:rsidRPr="0054178B">
              <w:rPr>
                <w:sz w:val="22"/>
                <w:szCs w:val="22"/>
              </w:rPr>
              <w:t>%</w:t>
            </w:r>
          </w:p>
        </w:tc>
        <w:tc>
          <w:tcPr>
            <w:tcW w:w="1292" w:type="dxa"/>
            <w:tcBorders>
              <w:top w:val="double" w:sz="6" w:space="0" w:color="auto"/>
              <w:left w:val="single" w:sz="4" w:space="0" w:color="auto"/>
              <w:bottom w:val="single" w:sz="4" w:space="0" w:color="auto"/>
              <w:right w:val="single" w:sz="4" w:space="0" w:color="auto"/>
            </w:tcBorders>
            <w:shd w:val="clear" w:color="auto" w:fill="auto"/>
          </w:tcPr>
          <w:p w:rsidR="007E1EFA" w:rsidRPr="0054178B" w:rsidRDefault="00916636" w:rsidP="005A0497">
            <w:pPr>
              <w:rPr>
                <w:sz w:val="22"/>
                <w:szCs w:val="22"/>
              </w:rPr>
            </w:pPr>
            <w:r w:rsidRPr="0054178B">
              <w:rPr>
                <w:sz w:val="22"/>
                <w:szCs w:val="22"/>
              </w:rPr>
              <w:t>0.03</w:t>
            </w:r>
            <w:r w:rsidR="007E1EFA" w:rsidRPr="0054178B">
              <w:rPr>
                <w:sz w:val="22"/>
                <w:szCs w:val="22"/>
              </w:rPr>
              <w:t>%</w:t>
            </w:r>
          </w:p>
        </w:tc>
        <w:tc>
          <w:tcPr>
            <w:tcW w:w="974" w:type="dxa"/>
            <w:tcBorders>
              <w:top w:val="double" w:sz="6" w:space="0" w:color="auto"/>
              <w:left w:val="single" w:sz="4" w:space="0" w:color="auto"/>
              <w:bottom w:val="single" w:sz="4"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0.</w:t>
            </w:r>
            <w:r w:rsidR="00916636" w:rsidRPr="0054178B">
              <w:rPr>
                <w:sz w:val="22"/>
                <w:szCs w:val="22"/>
              </w:rPr>
              <w:t>30</w:t>
            </w:r>
            <w:r w:rsidRPr="0054178B">
              <w:rPr>
                <w:sz w:val="22"/>
                <w:szCs w:val="22"/>
              </w:rPr>
              <w:t>%</w:t>
            </w:r>
          </w:p>
        </w:tc>
        <w:tc>
          <w:tcPr>
            <w:tcW w:w="1170" w:type="dxa"/>
            <w:tcBorders>
              <w:top w:val="double" w:sz="6" w:space="0" w:color="auto"/>
              <w:left w:val="single" w:sz="4" w:space="0" w:color="auto"/>
              <w:bottom w:val="single" w:sz="4" w:space="0" w:color="auto"/>
              <w:right w:val="single" w:sz="4" w:space="0" w:color="auto"/>
            </w:tcBorders>
            <w:shd w:val="clear" w:color="auto" w:fill="auto"/>
          </w:tcPr>
          <w:p w:rsidR="007E1EFA" w:rsidRPr="0054178B" w:rsidRDefault="00916636" w:rsidP="005A0497">
            <w:pPr>
              <w:rPr>
                <w:sz w:val="22"/>
                <w:szCs w:val="22"/>
              </w:rPr>
            </w:pPr>
            <w:r w:rsidRPr="0054178B">
              <w:rPr>
                <w:sz w:val="22"/>
                <w:szCs w:val="22"/>
              </w:rPr>
              <w:t>2.39</w:t>
            </w:r>
            <w:r w:rsidR="007E1EFA" w:rsidRPr="0054178B">
              <w:rPr>
                <w:sz w:val="22"/>
                <w:szCs w:val="22"/>
              </w:rPr>
              <w:t>%</w:t>
            </w:r>
          </w:p>
        </w:tc>
        <w:tc>
          <w:tcPr>
            <w:tcW w:w="900" w:type="dxa"/>
            <w:tcBorders>
              <w:top w:val="double" w:sz="6" w:space="0" w:color="auto"/>
              <w:left w:val="single" w:sz="4" w:space="0" w:color="auto"/>
              <w:bottom w:val="single" w:sz="4" w:space="0" w:color="auto"/>
              <w:right w:val="single" w:sz="4" w:space="0" w:color="auto"/>
            </w:tcBorders>
            <w:shd w:val="clear" w:color="auto" w:fill="auto"/>
          </w:tcPr>
          <w:p w:rsidR="007E1EFA" w:rsidRPr="0054178B" w:rsidRDefault="007E1EFA" w:rsidP="005A0497">
            <w:pPr>
              <w:rPr>
                <w:sz w:val="22"/>
                <w:szCs w:val="22"/>
              </w:rPr>
            </w:pPr>
            <w:r w:rsidRPr="0054178B">
              <w:rPr>
                <w:sz w:val="22"/>
                <w:szCs w:val="22"/>
              </w:rPr>
              <w:t>2.</w:t>
            </w:r>
            <w:r w:rsidR="00916636" w:rsidRPr="0054178B">
              <w:rPr>
                <w:sz w:val="22"/>
                <w:szCs w:val="22"/>
              </w:rPr>
              <w:t>98</w:t>
            </w:r>
            <w:r w:rsidRPr="0054178B">
              <w:rPr>
                <w:sz w:val="22"/>
                <w:szCs w:val="22"/>
              </w:rPr>
              <w:t>%</w:t>
            </w:r>
          </w:p>
        </w:tc>
      </w:tr>
    </w:tbl>
    <w:p w:rsidR="006366BB" w:rsidRPr="007E217F" w:rsidRDefault="00BE57FA" w:rsidP="009D758C">
      <w:pPr>
        <w:spacing w:before="240"/>
      </w:pPr>
      <w:r>
        <w:t>The 2016</w:t>
      </w:r>
      <w:r w:rsidR="008E3FE8" w:rsidRPr="007E217F">
        <w:t xml:space="preserve"> ACS</w:t>
      </w:r>
      <w:r w:rsidR="009D758C">
        <w:t xml:space="preserve"> </w:t>
      </w:r>
      <w:r w:rsidR="006366BB" w:rsidRPr="007E217F">
        <w:t>reported</w:t>
      </w:r>
      <w:r w:rsidR="004719AA">
        <w:t xml:space="preserve"> a total of 8,037</w:t>
      </w:r>
      <w:r w:rsidR="006366BB" w:rsidRPr="007E217F">
        <w:t>children</w:t>
      </w:r>
      <w:r w:rsidR="004719AA">
        <w:t>, ages</w:t>
      </w:r>
      <w:r w:rsidR="006366BB" w:rsidRPr="007E217F">
        <w:t xml:space="preserve"> five years </w:t>
      </w:r>
      <w:r w:rsidR="004719AA">
        <w:t>and</w:t>
      </w:r>
      <w:r w:rsidR="006366BB" w:rsidRPr="007E217F">
        <w:t xml:space="preserve"> younger in the ECI Area.  20% of family households in the ECI Area reported having children younger than 6 years of age.  </w:t>
      </w:r>
      <w:r>
        <w:t>47</w:t>
      </w:r>
      <w:r w:rsidR="00B74F6C" w:rsidRPr="007E217F">
        <w:t>%</w:t>
      </w:r>
      <w:r w:rsidR="006366BB" w:rsidRPr="007E217F">
        <w:t xml:space="preserve"> family households identified as married </w:t>
      </w:r>
      <w:r w:rsidR="00B74F6C" w:rsidRPr="007E217F">
        <w:t xml:space="preserve">with children zero to 5 years; </w:t>
      </w:r>
      <w:r>
        <w:t>5.6</w:t>
      </w:r>
      <w:r w:rsidR="006366BB" w:rsidRPr="007E217F">
        <w:t>% repo</w:t>
      </w:r>
      <w:r>
        <w:t>rted as female households, and 3.1</w:t>
      </w:r>
      <w:r w:rsidR="006366BB" w:rsidRPr="007E217F">
        <w:t>% reported as male</w:t>
      </w:r>
      <w:r w:rsidR="00E30353" w:rsidRPr="007E217F">
        <w:t xml:space="preserve"> headed households.</w:t>
      </w:r>
    </w:p>
    <w:p w:rsidR="006366BB" w:rsidRPr="007E217F" w:rsidRDefault="008A78C6" w:rsidP="005A0497">
      <w:pPr>
        <w:rPr>
          <w:highlight w:val="yellow"/>
        </w:rPr>
      </w:pPr>
      <w:r w:rsidRPr="007E217F">
        <w:t>According to 2010</w:t>
      </w:r>
      <w:r w:rsidR="006366BB" w:rsidRPr="007E217F">
        <w:t xml:space="preserve"> Census data, the ECI Area had a higher rate of residents 25 years of age an older with Bachelor or higher education degrees than the State of Iowa (ECI Area =</w:t>
      </w:r>
      <w:r w:rsidR="00BE57FA">
        <w:t>42.6%, State of Iowa = 27</w:t>
      </w:r>
      <w:r w:rsidR="006366BB" w:rsidRPr="007E217F">
        <w:t xml:space="preserve">%).  There were variances between Boone and Story counties in the percent of residents with Bachelor or higher degrees (Boone County = </w:t>
      </w:r>
      <w:r w:rsidR="0071602E">
        <w:t>22</w:t>
      </w:r>
      <w:r w:rsidR="006366BB" w:rsidRPr="007E217F">
        <w:t xml:space="preserve">%, Story County = </w:t>
      </w:r>
      <w:r w:rsidR="0071602E">
        <w:t>50.3</w:t>
      </w:r>
      <w:r w:rsidR="006366BB" w:rsidRPr="007E217F">
        <w:t xml:space="preserve">%).  The percent of ECI Area residents without a </w:t>
      </w:r>
      <w:r w:rsidR="0071602E">
        <w:t>high school diploma was nearly 4.2</w:t>
      </w:r>
      <w:r w:rsidR="006366BB" w:rsidRPr="007E217F">
        <w:t>%.</w:t>
      </w:r>
      <w:r w:rsidR="0071602E">
        <w:t xml:space="preserve"> </w:t>
      </w:r>
    </w:p>
    <w:p w:rsidR="007A01D5" w:rsidRDefault="00062E7F" w:rsidP="005A0497">
      <w:r w:rsidRPr="007E217F">
        <w:t xml:space="preserve">Iowa Workforce Development reports the </w:t>
      </w:r>
      <w:r w:rsidR="00BA3627" w:rsidRPr="007E217F">
        <w:t>June 2018</w:t>
      </w:r>
      <w:r w:rsidRPr="007E217F">
        <w:t xml:space="preserve"> unemployment rate </w:t>
      </w:r>
      <w:r w:rsidR="0074107E" w:rsidRPr="007E217F">
        <w:t xml:space="preserve">for Boone County was </w:t>
      </w:r>
      <w:r w:rsidR="00BA3627" w:rsidRPr="007E217F">
        <w:t>2.2</w:t>
      </w:r>
      <w:r w:rsidR="00671534" w:rsidRPr="007E217F">
        <w:t xml:space="preserve">%, for Story County it was </w:t>
      </w:r>
      <w:r w:rsidR="00BA3627" w:rsidRPr="007E217F">
        <w:t>1.5</w:t>
      </w:r>
      <w:r w:rsidR="00671534" w:rsidRPr="007E217F">
        <w:t>%.</w:t>
      </w:r>
      <w:r w:rsidRPr="007E217F">
        <w:t xml:space="preserve">  These rates </w:t>
      </w:r>
      <w:r w:rsidR="0074107E" w:rsidRPr="007E217F">
        <w:t xml:space="preserve">were </w:t>
      </w:r>
      <w:r w:rsidRPr="007E217F">
        <w:t xml:space="preserve">less than the statewide rate of </w:t>
      </w:r>
      <w:r w:rsidR="00BA3627" w:rsidRPr="007E217F">
        <w:t>2.8</w:t>
      </w:r>
      <w:r w:rsidRPr="007E217F">
        <w:t xml:space="preserve">%. </w:t>
      </w:r>
    </w:p>
    <w:p w:rsidR="003C2571" w:rsidRDefault="003C2571">
      <w:pPr>
        <w:tabs>
          <w:tab w:val="clear" w:pos="900"/>
        </w:tabs>
        <w:spacing w:before="0" w:after="0"/>
      </w:pPr>
      <w:r>
        <w:br w:type="page"/>
      </w:r>
    </w:p>
    <w:p w:rsidR="00596924" w:rsidRPr="000A63BB" w:rsidRDefault="00596924" w:rsidP="000A63BB">
      <w:pPr>
        <w:shd w:val="clear" w:color="auto" w:fill="DBE5F1" w:themeFill="accent1" w:themeFillTint="33"/>
        <w:jc w:val="center"/>
        <w:rPr>
          <w:b/>
        </w:rPr>
      </w:pPr>
      <w:r w:rsidRPr="000A63BB">
        <w:rPr>
          <w:b/>
        </w:rPr>
        <w:t>Section II</w:t>
      </w:r>
    </w:p>
    <w:p w:rsidR="008D6CFE" w:rsidRPr="000A63BB" w:rsidRDefault="008D6CFE" w:rsidP="000A63BB">
      <w:pPr>
        <w:shd w:val="clear" w:color="auto" w:fill="DBE5F1" w:themeFill="accent1" w:themeFillTint="33"/>
        <w:jc w:val="center"/>
        <w:rPr>
          <w:b/>
        </w:rPr>
      </w:pPr>
      <w:r w:rsidRPr="000A63BB">
        <w:rPr>
          <w:b/>
        </w:rPr>
        <w:t>Community Needs Assessment</w:t>
      </w:r>
    </w:p>
    <w:p w:rsidR="001A1BF4" w:rsidRDefault="003C2571" w:rsidP="005A0497">
      <w:r>
        <w:t xml:space="preserve">Development: </w:t>
      </w:r>
      <w:r w:rsidR="008D4D6B">
        <w:t>A</w:t>
      </w:r>
      <w:r w:rsidR="001A1BF4">
        <w:t xml:space="preserve"> community needs a</w:t>
      </w:r>
      <w:r w:rsidR="00C75847" w:rsidRPr="00C75847">
        <w:t>ssessment</w:t>
      </w:r>
      <w:r w:rsidR="007458D5">
        <w:t xml:space="preserve"> was </w:t>
      </w:r>
      <w:r w:rsidR="008D4D6B">
        <w:t>conducted</w:t>
      </w:r>
      <w:r w:rsidR="007458D5">
        <w:t xml:space="preserve"> in the</w:t>
      </w:r>
      <w:r w:rsidR="008D4D6B">
        <w:t xml:space="preserve"> summer and</w:t>
      </w:r>
      <w:r w:rsidR="007458D5">
        <w:t xml:space="preserve"> fall of 201</w:t>
      </w:r>
      <w:r w:rsidR="00EA1502">
        <w:t>8</w:t>
      </w:r>
      <w:r w:rsidR="00C75847" w:rsidRPr="00C75847">
        <w:t xml:space="preserve">.  </w:t>
      </w:r>
      <w:r w:rsidR="008D4D6B">
        <w:t>The process began with gathering data to monitor trends in indicators of child wellbeing</w:t>
      </w:r>
      <w:r w:rsidR="00733111">
        <w:t xml:space="preserve"> for the FY18 BooSt Annual Report. </w:t>
      </w:r>
      <w:r w:rsidR="007A01D5" w:rsidRPr="007A01D5">
        <w:t>The Boost</w:t>
      </w:r>
      <w:r w:rsidR="000F2F04">
        <w:t xml:space="preserve"> ECI Area</w:t>
      </w:r>
      <w:r w:rsidR="007A01D5" w:rsidRPr="007A01D5">
        <w:t xml:space="preserve"> </w:t>
      </w:r>
      <w:r w:rsidR="000F2F04">
        <w:t>B</w:t>
      </w:r>
      <w:r w:rsidR="007A01D5" w:rsidRPr="007A01D5">
        <w:t xml:space="preserve">oard and community stakeholders reviewed indicator data </w:t>
      </w:r>
      <w:r w:rsidR="007A01D5">
        <w:t xml:space="preserve">and priorities </w:t>
      </w:r>
      <w:r w:rsidR="007A01D5" w:rsidRPr="007A01D5">
        <w:t xml:space="preserve">at the October 11, 2018 board meeting. </w:t>
      </w:r>
    </w:p>
    <w:p w:rsidR="000B7D6E" w:rsidRPr="00562CF9" w:rsidRDefault="00733111" w:rsidP="005A0497">
      <w:r>
        <w:t>Information from the US Census Bureau</w:t>
      </w:r>
      <w:r w:rsidR="007A01D5">
        <w:t xml:space="preserve"> ACS</w:t>
      </w:r>
      <w:r>
        <w:t xml:space="preserve"> on the Iowa State Library was used</w:t>
      </w:r>
      <w:r w:rsidR="008D4D6B">
        <w:t xml:space="preserve"> to update the demographic information about Boone and Story Counties. </w:t>
      </w:r>
      <w:r>
        <w:t xml:space="preserve">In addition </w:t>
      </w:r>
      <w:r w:rsidRPr="00C75847">
        <w:rPr>
          <w:color w:val="000000"/>
        </w:rPr>
        <w:t>Kids Count</w:t>
      </w:r>
      <w:r>
        <w:rPr>
          <w:color w:val="000000"/>
        </w:rPr>
        <w:t xml:space="preserve"> </w:t>
      </w:r>
      <w:r w:rsidRPr="00C75847">
        <w:rPr>
          <w:color w:val="000000"/>
        </w:rPr>
        <w:t>data</w:t>
      </w:r>
      <w:r>
        <w:rPr>
          <w:color w:val="000000"/>
        </w:rPr>
        <w:t>,</w:t>
      </w:r>
      <w:r w:rsidRPr="00C75847">
        <w:rPr>
          <w:color w:val="000000"/>
        </w:rPr>
        <w:t xml:space="preserve"> </w:t>
      </w:r>
      <w:r>
        <w:t>n</w:t>
      </w:r>
      <w:r w:rsidR="008D4D6B">
        <w:t>eeds assessments from other agencies</w:t>
      </w:r>
      <w:r>
        <w:t xml:space="preserve">, </w:t>
      </w:r>
      <w:r w:rsidRPr="00C75847">
        <w:rPr>
          <w:color w:val="000000"/>
        </w:rPr>
        <w:t xml:space="preserve">Boone County and Story County Public Health Community Health Needs Assessment/Health Improvement Plans </w:t>
      </w:r>
      <w:r w:rsidR="008D4D6B">
        <w:t>were also reviewed.</w:t>
      </w:r>
      <w:r>
        <w:t xml:space="preserve"> </w:t>
      </w:r>
    </w:p>
    <w:p w:rsidR="00C47D52" w:rsidRPr="00562CF9" w:rsidRDefault="00C75847" w:rsidP="005A0497">
      <w:r w:rsidRPr="00C75847">
        <w:rPr>
          <w:i/>
        </w:rPr>
        <w:t>Mid Iowa Community Action Head Start</w:t>
      </w:r>
      <w:r w:rsidRPr="00C75847">
        <w:t xml:space="preserve"> </w:t>
      </w:r>
      <w:r w:rsidR="00E458B8">
        <w:rPr>
          <w:i/>
        </w:rPr>
        <w:t xml:space="preserve">Needs Assessment </w:t>
      </w:r>
      <w:r w:rsidR="00985EAB">
        <w:t>-</w:t>
      </w:r>
      <w:r w:rsidR="00EA1502">
        <w:t xml:space="preserve"> The 2017</w:t>
      </w:r>
      <w:r w:rsidRPr="00C75847">
        <w:t xml:space="preserve"> </w:t>
      </w:r>
      <w:r w:rsidR="00950C63">
        <w:t xml:space="preserve">needs </w:t>
      </w:r>
      <w:r w:rsidRPr="00C75847">
        <w:t xml:space="preserve">assessment </w:t>
      </w:r>
      <w:r w:rsidR="00BF0FEA">
        <w:t>included a</w:t>
      </w:r>
      <w:r w:rsidRPr="00C75847">
        <w:t xml:space="preserve"> review o</w:t>
      </w:r>
      <w:r w:rsidR="00EA1502">
        <w:t>f</w:t>
      </w:r>
      <w:r w:rsidR="00BF0FEA">
        <w:t xml:space="preserve"> administrative</w:t>
      </w:r>
      <w:r w:rsidR="00EA1502">
        <w:t xml:space="preserve"> data, as well as </w:t>
      </w:r>
      <w:r w:rsidRPr="00C75847">
        <w:t>survey data from low-income families</w:t>
      </w:r>
      <w:r w:rsidR="00BF0FEA">
        <w:t>, staff members and stakeholders</w:t>
      </w:r>
      <w:r w:rsidRPr="00C75847">
        <w:t xml:space="preserve"> in the five counties served</w:t>
      </w:r>
      <w:r w:rsidR="00733111">
        <w:t>.</w:t>
      </w:r>
      <w:r w:rsidR="00BF0FEA">
        <w:t xml:space="preserve"> Families identified the high cost of health insurance and the lack of access</w:t>
      </w:r>
      <w:r w:rsidR="00950C63">
        <w:t xml:space="preserve"> to mental health services as </w:t>
      </w:r>
      <w:r w:rsidR="00BF0FEA">
        <w:t>high priority</w:t>
      </w:r>
      <w:r w:rsidR="00950C63">
        <w:t xml:space="preserve"> needs</w:t>
      </w:r>
      <w:r w:rsidR="00BF0FEA">
        <w:t xml:space="preserve">. It was also noted that their data showed that </w:t>
      </w:r>
      <w:r w:rsidR="00950C63">
        <w:t xml:space="preserve">in Story County 40% of </w:t>
      </w:r>
      <w:r w:rsidR="0007358B">
        <w:t>Hispanic children</w:t>
      </w:r>
      <w:r w:rsidR="00950C63">
        <w:t xml:space="preserve"> 0-4 were in poverty (ACS 2011-2015).</w:t>
      </w:r>
    </w:p>
    <w:p w:rsidR="00766E2C" w:rsidRDefault="00C75847" w:rsidP="005A0497">
      <w:r w:rsidRPr="00C75847">
        <w:rPr>
          <w:i/>
        </w:rPr>
        <w:t xml:space="preserve">Boone County and Story County Public Health Community Health Needs Assessment/Health Improvement Plans </w:t>
      </w:r>
      <w:r w:rsidRPr="00C75847">
        <w:t xml:space="preserve">- Public health </w:t>
      </w:r>
      <w:r w:rsidR="00E458B8">
        <w:t xml:space="preserve">departments statewide completed </w:t>
      </w:r>
      <w:r w:rsidRPr="00C75847">
        <w:t>needs assessments and developed Health Improvement Plans for their counties of service, which were due in 201</w:t>
      </w:r>
      <w:r w:rsidR="00EA1502">
        <w:t>6</w:t>
      </w:r>
      <w:r w:rsidRPr="00C75847">
        <w:t xml:space="preserve">.  Representatives of the local ECI Area and other community stakeholders participated in the processes implemented in Boone and Story counties.  </w:t>
      </w:r>
      <w:r w:rsidR="00380E58">
        <w:t>Both counties identified access to mental health services and access to dental health services as priority needs.</w:t>
      </w:r>
    </w:p>
    <w:p w:rsidR="00BF0FEA" w:rsidRDefault="00BF0FEA" w:rsidP="005A0497">
      <w:r w:rsidRPr="00BF0FEA">
        <w:rPr>
          <w:i/>
        </w:rPr>
        <w:t>Prevent Child Abuse Iowa 2018 Needs Assessment</w:t>
      </w:r>
      <w:r>
        <w:t xml:space="preserve"> – Statistics gathered by PCAI show that statewide teen births have declined by 50%. </w:t>
      </w:r>
      <w:r w:rsidR="004719AA">
        <w:t>A</w:t>
      </w:r>
      <w:r>
        <w:t xml:space="preserve">buse rates per 1000 children Boone and Story </w:t>
      </w:r>
      <w:r w:rsidR="00950C63">
        <w:t>Counties</w:t>
      </w:r>
      <w:r>
        <w:t xml:space="preserve"> are close to the state average of 12 per 1000. The</w:t>
      </w:r>
      <w:r w:rsidR="004719AA">
        <w:t xml:space="preserve"> assessment</w:t>
      </w:r>
      <w:r>
        <w:t xml:space="preserve"> also found that single parents</w:t>
      </w:r>
      <w:r w:rsidR="00950C63">
        <w:t>,</w:t>
      </w:r>
      <w:r>
        <w:t xml:space="preserve"> especially women</w:t>
      </w:r>
      <w:r w:rsidR="00950C63">
        <w:t>,</w:t>
      </w:r>
      <w:r>
        <w:t xml:space="preserve"> were </w:t>
      </w:r>
      <w:r w:rsidR="007E78AF">
        <w:t>more likely</w:t>
      </w:r>
      <w:r>
        <w:t xml:space="preserve"> to live in poverty.</w:t>
      </w:r>
    </w:p>
    <w:p w:rsidR="00C77284" w:rsidRPr="00497032" w:rsidRDefault="00F0284E" w:rsidP="005A0497">
      <w:r>
        <w:rPr>
          <w:i/>
          <w:color w:val="000000"/>
        </w:rPr>
        <w:t>Iowa Women’s Foundation</w:t>
      </w:r>
      <w:r w:rsidR="004719AA">
        <w:rPr>
          <w:i/>
          <w:color w:val="000000"/>
        </w:rPr>
        <w:t xml:space="preserve"> (IWF)</w:t>
      </w:r>
      <w:r>
        <w:rPr>
          <w:i/>
          <w:color w:val="000000"/>
        </w:rPr>
        <w:t xml:space="preserve"> </w:t>
      </w:r>
      <w:r w:rsidRPr="00F0284E">
        <w:rPr>
          <w:i/>
          <w:color w:val="000000"/>
        </w:rPr>
        <w:t>Child Care Solutions</w:t>
      </w:r>
      <w:r w:rsidRPr="00F0284E">
        <w:rPr>
          <w:color w:val="000000"/>
        </w:rPr>
        <w:t xml:space="preserve"> </w:t>
      </w:r>
      <w:r>
        <w:rPr>
          <w:color w:val="000000"/>
        </w:rPr>
        <w:t xml:space="preserve">– </w:t>
      </w:r>
      <w:r w:rsidR="00C77284" w:rsidRPr="00497032">
        <w:t xml:space="preserve">In July of 2018 the BooSt </w:t>
      </w:r>
      <w:r w:rsidR="000F2F04">
        <w:t xml:space="preserve">ECI Area </w:t>
      </w:r>
      <w:r w:rsidR="00C77284" w:rsidRPr="00497032">
        <w:t>collaborated with the Iowa Women’s Foundation, United Way</w:t>
      </w:r>
      <w:r w:rsidR="004719AA">
        <w:t xml:space="preserve"> of Story County</w:t>
      </w:r>
      <w:r w:rsidR="00C77284" w:rsidRPr="00497032">
        <w:t>, Ames Chamber of Commerce, and Child Care Resource and Referral</w:t>
      </w:r>
      <w:r w:rsidR="004719AA">
        <w:t xml:space="preserve"> (CCRR)</w:t>
      </w:r>
      <w:r w:rsidR="00C77284" w:rsidRPr="00497032">
        <w:t xml:space="preserve"> to convene a conversation around Community Solutions to childcare shortages. One session comprised mainly of community stakeholders while a second session was attended mostly by childcare providers.</w:t>
      </w:r>
    </w:p>
    <w:p w:rsidR="00C77284" w:rsidRDefault="00C77284" w:rsidP="005A0497">
      <w:r w:rsidRPr="00497032">
        <w:t xml:space="preserve">The IWF shared local childcare data gathered by CCRR. Participants broke into groups to explore five different solutions to childcare issues. </w:t>
      </w:r>
      <w:r>
        <w:t>It was noted that low unemployment has had an unexpected impact on home providers. As providers face higher insurance costs, some are choosing to leave childcare for jobs that offer health insurance.</w:t>
      </w:r>
    </w:p>
    <w:p w:rsidR="00C77284" w:rsidRDefault="00C77284" w:rsidP="005A0497">
      <w:r w:rsidRPr="00497032">
        <w:t xml:space="preserve">At a follow-up meeting in September </w:t>
      </w:r>
      <w:r w:rsidR="004719AA">
        <w:t xml:space="preserve">those in attendance </w:t>
      </w:r>
      <w:r w:rsidRPr="00497032">
        <w:t xml:space="preserve">decided to focus on two key areas – recruiting new home based providers and engaging business partners. </w:t>
      </w:r>
      <w:r w:rsidR="00FF05FD">
        <w:t>It was determined that</w:t>
      </w:r>
      <w:r w:rsidRPr="00497032">
        <w:t xml:space="preserve"> provider recruitment was </w:t>
      </w:r>
      <w:r w:rsidR="00FF05FD">
        <w:t>a task that could be addressed</w:t>
      </w:r>
      <w:r w:rsidRPr="00497032">
        <w:t xml:space="preserve"> rather quickly by working with CCRR Childcare Consultants.</w:t>
      </w:r>
    </w:p>
    <w:p w:rsidR="00C77284" w:rsidRPr="00497032" w:rsidRDefault="00FF05FD" w:rsidP="005A0497">
      <w:pPr>
        <w:rPr>
          <w:highlight w:val="yellow"/>
        </w:rPr>
      </w:pPr>
      <w:r>
        <w:t>B</w:t>
      </w:r>
      <w:r w:rsidR="00C77284" w:rsidRPr="00497032">
        <w:t xml:space="preserve">uilding relationships with the business community will take time. Time to gain a better understanding of how the need for childcare impacts local businesses and where the support of businesses can be most effective. </w:t>
      </w:r>
      <w:r w:rsidR="007E78AF">
        <w:t xml:space="preserve">A notable recent success was </w:t>
      </w:r>
      <w:r w:rsidR="00C77284" w:rsidRPr="00497032">
        <w:t>the</w:t>
      </w:r>
      <w:r w:rsidR="007E78AF">
        <w:t xml:space="preserve"> partnership of a</w:t>
      </w:r>
      <w:r w:rsidR="00C77284" w:rsidRPr="00497032">
        <w:t xml:space="preserve"> local medical clinic with a childcare provider to make on-site childcare available</w:t>
      </w:r>
      <w:r w:rsidR="003C2571">
        <w:t>.</w:t>
      </w:r>
    </w:p>
    <w:p w:rsidR="00C77284" w:rsidRDefault="00C77284" w:rsidP="005A0497">
      <w:r>
        <w:rPr>
          <w:i/>
        </w:rPr>
        <w:t xml:space="preserve">Community Collaborative for Children’s Wellbeing </w:t>
      </w:r>
      <w:r w:rsidRPr="00C77284">
        <w:rPr>
          <w:i/>
        </w:rPr>
        <w:t>Grant</w:t>
      </w:r>
      <w:r>
        <w:t xml:space="preserve"> </w:t>
      </w:r>
      <w:r w:rsidR="001B1663">
        <w:t>–</w:t>
      </w:r>
      <w:r>
        <w:t xml:space="preserve"> </w:t>
      </w:r>
      <w:r w:rsidR="001B1663">
        <w:t xml:space="preserve">BooSt staff and board members have participated in planning and implementing a regional collaborative to improve the mental health and wellbeing of young children. </w:t>
      </w:r>
      <w:r w:rsidRPr="00C77284">
        <w:t>The</w:t>
      </w:r>
      <w:r>
        <w:t xml:space="preserve"> lack of a coordinated information and referral system was identified as a universal need. A representative from Iowa211 spoke about improvements </w:t>
      </w:r>
      <w:r w:rsidR="00FF05FD">
        <w:t>being made,</w:t>
      </w:r>
      <w:r>
        <w:t xml:space="preserve"> such as creating a single database for the entire state. It was noted that there were often gaps in information, especially for smaller local services such as food pantries. A proposed solution would be for local human service councils or United Ways to work more closely with 211 to make sure that local resources get listed with 211. </w:t>
      </w:r>
      <w:r w:rsidR="00FF05FD">
        <w:t>Partners</w:t>
      </w:r>
      <w:r>
        <w:t xml:space="preserve"> explored having the Mental Health Region actively collaborate with 211 to identify how to save costs on staffing hotlines.</w:t>
      </w:r>
    </w:p>
    <w:p w:rsidR="00C77284" w:rsidRDefault="00C77284" w:rsidP="005A0497">
      <w:r>
        <w:t xml:space="preserve">Improving early identification of mental health concerns was also a goal. </w:t>
      </w:r>
      <w:r w:rsidR="00FF05FD">
        <w:t xml:space="preserve">It was </w:t>
      </w:r>
      <w:r>
        <w:t>determined that while the ASQ was used by many programs, it did not focus on mental health issues. Participants agreed to pilot the use of the ASQ-SE (Social Emotional) and grant funds were used to purchase it for programs not using it.</w:t>
      </w:r>
    </w:p>
    <w:p w:rsidR="00C77284" w:rsidRDefault="00C77284" w:rsidP="005A0497">
      <w:r w:rsidRPr="00C77284">
        <w:rPr>
          <w:i/>
        </w:rPr>
        <w:t>Grade Level Reading</w:t>
      </w:r>
      <w:r>
        <w:t xml:space="preserve"> </w:t>
      </w:r>
      <w:r w:rsidR="000F2F04">
        <w:t>–</w:t>
      </w:r>
      <w:r>
        <w:t xml:space="preserve"> </w:t>
      </w:r>
      <w:r w:rsidR="000F2F04">
        <w:t xml:space="preserve">The </w:t>
      </w:r>
      <w:r>
        <w:t>BooSt</w:t>
      </w:r>
      <w:r w:rsidR="000F2F04">
        <w:t xml:space="preserve"> ECI Area</w:t>
      </w:r>
      <w:r>
        <w:t xml:space="preserve"> has also participated in Grade Level Reading efforts sponsored by United Way of Story County. Various workgroups have gathered information on nationally recognized best practices, developing a county wide survey of early learning supports. A current strategy is to interview kindergarten teachers to learn how well prepared children are to enter kindergarten. They also have been gathering data from all the school districts in the county to identify differences in usage of free and reduced lunches, 3</w:t>
      </w:r>
      <w:r w:rsidRPr="002F535F">
        <w:rPr>
          <w:vertAlign w:val="superscript"/>
        </w:rPr>
        <w:t>rd</w:t>
      </w:r>
      <w:r>
        <w:t xml:space="preserve"> and 4</w:t>
      </w:r>
      <w:r w:rsidRPr="002F535F">
        <w:rPr>
          <w:vertAlign w:val="superscript"/>
        </w:rPr>
        <w:t>th</w:t>
      </w:r>
      <w:r>
        <w:t xml:space="preserve"> grade reading scores, and what local resources support early literacy.</w:t>
      </w:r>
    </w:p>
    <w:p w:rsidR="00C77284" w:rsidRPr="00562CF9" w:rsidRDefault="00C77284" w:rsidP="005A0497"/>
    <w:p w:rsidR="0054178B" w:rsidRDefault="0054178B">
      <w:pPr>
        <w:tabs>
          <w:tab w:val="clear" w:pos="900"/>
        </w:tabs>
        <w:spacing w:before="0" w:after="0"/>
      </w:pPr>
      <w:r>
        <w:br w:type="page"/>
      </w:r>
    </w:p>
    <w:p w:rsidR="004E6C93" w:rsidRPr="0054178B" w:rsidRDefault="00E458B8" w:rsidP="005A0497">
      <w:pPr>
        <w:rPr>
          <w:b/>
        </w:rPr>
      </w:pPr>
      <w:r w:rsidRPr="0054178B">
        <w:rPr>
          <w:b/>
        </w:rPr>
        <w:t xml:space="preserve">Results </w:t>
      </w:r>
      <w:r w:rsidR="00AC5778" w:rsidRPr="0054178B">
        <w:rPr>
          <w:b/>
        </w:rPr>
        <w:t>and Analysis</w:t>
      </w:r>
      <w:r w:rsidRPr="0054178B">
        <w:rPr>
          <w:b/>
        </w:rPr>
        <w:t xml:space="preserve"> of the ECI Area Board Priorities</w:t>
      </w:r>
      <w:r w:rsidR="00344897">
        <w:rPr>
          <w:b/>
        </w:rPr>
        <w:t xml:space="preserve"> and Indicators</w:t>
      </w:r>
    </w:p>
    <w:tbl>
      <w:tblPr>
        <w:tblW w:w="100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85"/>
        <w:gridCol w:w="2793"/>
        <w:gridCol w:w="5066"/>
      </w:tblGrid>
      <w:tr w:rsidR="00990A2B" w:rsidRPr="00623C7D" w:rsidTr="0054178B">
        <w:trPr>
          <w:tblHeader/>
        </w:trPr>
        <w:tc>
          <w:tcPr>
            <w:tcW w:w="2179" w:type="dxa"/>
            <w:shd w:val="clear" w:color="auto" w:fill="DBE5F1"/>
          </w:tcPr>
          <w:p w:rsidR="00990A2B" w:rsidRPr="00623C7D" w:rsidRDefault="00990A2B" w:rsidP="005A0497">
            <w:r>
              <w:t>Results Area</w:t>
            </w:r>
          </w:p>
        </w:tc>
        <w:tc>
          <w:tcPr>
            <w:tcW w:w="2792" w:type="dxa"/>
            <w:shd w:val="clear" w:color="auto" w:fill="DBE5F1"/>
          </w:tcPr>
          <w:p w:rsidR="00990A2B" w:rsidRPr="00623C7D" w:rsidRDefault="00990A2B" w:rsidP="005A0497">
            <w:r w:rsidRPr="00623C7D">
              <w:t>Priority</w:t>
            </w:r>
          </w:p>
        </w:tc>
        <w:tc>
          <w:tcPr>
            <w:tcW w:w="5073" w:type="dxa"/>
            <w:shd w:val="clear" w:color="auto" w:fill="DBE5F1"/>
          </w:tcPr>
          <w:p w:rsidR="00990A2B" w:rsidRPr="00623C7D" w:rsidRDefault="00990A2B" w:rsidP="005A0497">
            <w:r w:rsidRPr="00623C7D">
              <w:t>Rationale for Identification or Deletion of Priority</w:t>
            </w:r>
          </w:p>
        </w:tc>
      </w:tr>
      <w:tr w:rsidR="00990A2B" w:rsidRPr="00623C7D" w:rsidTr="0054178B">
        <w:tc>
          <w:tcPr>
            <w:tcW w:w="2179" w:type="dxa"/>
            <w:shd w:val="clear" w:color="auto" w:fill="auto"/>
          </w:tcPr>
          <w:p w:rsidR="00990A2B" w:rsidRPr="002E4265" w:rsidRDefault="00C75847" w:rsidP="005A0497">
            <w:r w:rsidRPr="002E4265">
              <w:t>Children Ready to Succeed in School</w:t>
            </w:r>
          </w:p>
        </w:tc>
        <w:tc>
          <w:tcPr>
            <w:tcW w:w="2792" w:type="dxa"/>
            <w:shd w:val="clear" w:color="auto" w:fill="auto"/>
          </w:tcPr>
          <w:p w:rsidR="00990A2B" w:rsidRPr="0008719B" w:rsidRDefault="00C75847" w:rsidP="00631E93">
            <w:r w:rsidRPr="00C75847">
              <w:t xml:space="preserve">All children have access to affordable quality early learning opportunities </w:t>
            </w:r>
          </w:p>
        </w:tc>
        <w:tc>
          <w:tcPr>
            <w:tcW w:w="5073" w:type="dxa"/>
            <w:shd w:val="clear" w:color="auto" w:fill="auto"/>
          </w:tcPr>
          <w:p w:rsidR="004E6C93" w:rsidRDefault="00C75847" w:rsidP="005A0497">
            <w:r w:rsidRPr="00C75847">
              <w:t>Efforts must focus on not only making</w:t>
            </w:r>
            <w:r w:rsidR="00FF05FD">
              <w:t xml:space="preserve"> </w:t>
            </w:r>
            <w:r w:rsidR="00FF05FD" w:rsidRPr="00C75847">
              <w:t>services</w:t>
            </w:r>
            <w:r w:rsidRPr="00C75847">
              <w:t xml:space="preserve"> available, but also striving for services in the early childhood system to demonstrate quality practices.  The Board will work with community partners to promote awareness of quality services, and to provide supports that </w:t>
            </w:r>
            <w:r w:rsidR="00EC1F6D">
              <w:t xml:space="preserve">help </w:t>
            </w:r>
            <w:r w:rsidRPr="00C75847">
              <w:t>providers, families, friends and neighbors create quality environments for children.</w:t>
            </w:r>
          </w:p>
          <w:p w:rsidR="00900698" w:rsidRDefault="00900698" w:rsidP="005A0497"/>
        </w:tc>
      </w:tr>
      <w:tr w:rsidR="0004179C" w:rsidRPr="00623C7D" w:rsidTr="00031289">
        <w:tc>
          <w:tcPr>
            <w:tcW w:w="10044" w:type="dxa"/>
            <w:gridSpan w:val="3"/>
          </w:tcPr>
          <w:p w:rsidR="0004179C" w:rsidRPr="00C75847" w:rsidRDefault="0004179C" w:rsidP="005A0497">
            <w:r w:rsidRPr="0004179C">
              <w:rPr>
                <w:noProof/>
              </w:rPr>
              <w:drawing>
                <wp:inline distT="0" distB="0" distL="0" distR="0">
                  <wp:extent cx="6191250" cy="1672590"/>
                  <wp:effectExtent l="19050" t="0" r="1905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04179C" w:rsidRPr="00623C7D" w:rsidTr="00031289">
        <w:tc>
          <w:tcPr>
            <w:tcW w:w="10044" w:type="dxa"/>
            <w:gridSpan w:val="3"/>
          </w:tcPr>
          <w:tbl>
            <w:tblPr>
              <w:tblW w:w="9852" w:type="dxa"/>
              <w:tblLook w:val="04A0"/>
            </w:tblPr>
            <w:tblGrid>
              <w:gridCol w:w="1322"/>
              <w:gridCol w:w="1013"/>
              <w:gridCol w:w="1590"/>
              <w:gridCol w:w="1704"/>
              <w:gridCol w:w="1031"/>
              <w:gridCol w:w="3158"/>
            </w:tblGrid>
            <w:tr w:rsidR="00344897" w:rsidRPr="0004179C" w:rsidTr="00344897">
              <w:trPr>
                <w:trHeight w:val="290"/>
              </w:trPr>
              <w:tc>
                <w:tcPr>
                  <w:tcW w:w="1327"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344897" w:rsidRPr="0004179C" w:rsidRDefault="00344897" w:rsidP="005A0497">
                  <w:r w:rsidRPr="0004179C">
                    <w:t>Year</w:t>
                  </w:r>
                </w:p>
              </w:tc>
              <w:tc>
                <w:tcPr>
                  <w:tcW w:w="1016"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344897" w:rsidRPr="0004179C" w:rsidRDefault="00344897" w:rsidP="00344897">
                  <w:pPr>
                    <w:jc w:val="center"/>
                  </w:pPr>
                  <w:r w:rsidRPr="0004179C">
                    <w:t>2014</w:t>
                  </w:r>
                </w:p>
              </w:tc>
              <w:tc>
                <w:tcPr>
                  <w:tcW w:w="1595"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344897" w:rsidRPr="0004179C" w:rsidRDefault="00344897" w:rsidP="00344897">
                  <w:pPr>
                    <w:jc w:val="center"/>
                  </w:pPr>
                  <w:r w:rsidRPr="0004179C">
                    <w:t>2015</w:t>
                  </w:r>
                </w:p>
              </w:tc>
              <w:tc>
                <w:tcPr>
                  <w:tcW w:w="171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344897" w:rsidRPr="0004179C" w:rsidRDefault="00344897" w:rsidP="00344897">
                  <w:pPr>
                    <w:jc w:val="center"/>
                  </w:pPr>
                  <w:r w:rsidRPr="0004179C">
                    <w:t>2016</w:t>
                  </w:r>
                </w:p>
              </w:tc>
              <w:tc>
                <w:tcPr>
                  <w:tcW w:w="1034"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344897" w:rsidRPr="0004179C" w:rsidRDefault="00344897" w:rsidP="00344897">
                  <w:pPr>
                    <w:jc w:val="center"/>
                  </w:pPr>
                  <w:r w:rsidRPr="0004179C">
                    <w:t>2017</w:t>
                  </w:r>
                </w:p>
              </w:tc>
              <w:tc>
                <w:tcPr>
                  <w:tcW w:w="317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344897" w:rsidRPr="0004179C" w:rsidRDefault="00344897" w:rsidP="00344897">
                  <w:pPr>
                    <w:jc w:val="center"/>
                  </w:pPr>
                  <w:r>
                    <w:t>2022</w:t>
                  </w:r>
                  <w:r w:rsidRPr="0004179C">
                    <w:t xml:space="preserve"> Goal</w:t>
                  </w:r>
                </w:p>
              </w:tc>
            </w:tr>
            <w:tr w:rsidR="00344897" w:rsidRPr="0004179C" w:rsidTr="00344897">
              <w:trPr>
                <w:trHeight w:val="290"/>
              </w:trPr>
              <w:tc>
                <w:tcPr>
                  <w:tcW w:w="13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344897" w:rsidRPr="0004179C" w:rsidRDefault="00344897" w:rsidP="005A0497">
                  <w:r w:rsidRPr="0004179C">
                    <w:t>BooSt ECI</w:t>
                  </w:r>
                </w:p>
              </w:tc>
              <w:tc>
                <w:tcPr>
                  <w:tcW w:w="1016"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344897" w:rsidRPr="0004179C" w:rsidRDefault="00344897" w:rsidP="00344897">
                  <w:pPr>
                    <w:jc w:val="center"/>
                  </w:pPr>
                  <w:r w:rsidRPr="0004179C">
                    <w:t>65%</w:t>
                  </w:r>
                </w:p>
              </w:tc>
              <w:tc>
                <w:tcPr>
                  <w:tcW w:w="1595"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344897" w:rsidRPr="0004179C" w:rsidRDefault="00344897" w:rsidP="00344897">
                  <w:pPr>
                    <w:jc w:val="center"/>
                  </w:pPr>
                  <w:r w:rsidRPr="0004179C">
                    <w:t>77%</w:t>
                  </w:r>
                </w:p>
              </w:tc>
              <w:tc>
                <w:tcPr>
                  <w:tcW w:w="171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344897" w:rsidRPr="0004179C" w:rsidRDefault="00344897" w:rsidP="00344897">
                  <w:pPr>
                    <w:jc w:val="center"/>
                  </w:pPr>
                  <w:r w:rsidRPr="0004179C">
                    <w:t>78%</w:t>
                  </w:r>
                </w:p>
              </w:tc>
              <w:tc>
                <w:tcPr>
                  <w:tcW w:w="1034"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344897" w:rsidRPr="0004179C" w:rsidRDefault="00344897" w:rsidP="00344897">
                  <w:pPr>
                    <w:jc w:val="center"/>
                  </w:pPr>
                  <w:r w:rsidRPr="0004179C">
                    <w:t>81%</w:t>
                  </w:r>
                </w:p>
              </w:tc>
              <w:tc>
                <w:tcPr>
                  <w:tcW w:w="317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344897" w:rsidRPr="0004179C" w:rsidRDefault="00344897" w:rsidP="00344897">
                  <w:pPr>
                    <w:jc w:val="center"/>
                  </w:pPr>
                  <w:r w:rsidRPr="0004179C">
                    <w:t>85%</w:t>
                  </w:r>
                </w:p>
              </w:tc>
            </w:tr>
            <w:tr w:rsidR="00344897" w:rsidRPr="0004179C" w:rsidTr="00344897">
              <w:trPr>
                <w:trHeight w:val="290"/>
              </w:trPr>
              <w:tc>
                <w:tcPr>
                  <w:tcW w:w="132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44897" w:rsidRPr="0004179C" w:rsidRDefault="00344897" w:rsidP="005A0497">
                  <w:r w:rsidRPr="0004179C">
                    <w:t xml:space="preserve">State </w:t>
                  </w:r>
                </w:p>
              </w:tc>
              <w:tc>
                <w:tcPr>
                  <w:tcW w:w="101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44897" w:rsidRPr="0004179C" w:rsidRDefault="00344897" w:rsidP="00344897">
                  <w:pPr>
                    <w:jc w:val="center"/>
                  </w:pPr>
                  <w:r w:rsidRPr="0004179C">
                    <w:t>54%</w:t>
                  </w:r>
                </w:p>
              </w:tc>
              <w:tc>
                <w:tcPr>
                  <w:tcW w:w="1595"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44897" w:rsidRPr="0004179C" w:rsidRDefault="00344897" w:rsidP="00344897">
                  <w:pPr>
                    <w:jc w:val="center"/>
                  </w:pPr>
                  <w:r w:rsidRPr="0004179C">
                    <w:t>64%</w:t>
                  </w:r>
                </w:p>
              </w:tc>
              <w:tc>
                <w:tcPr>
                  <w:tcW w:w="171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44897" w:rsidRPr="0004179C" w:rsidRDefault="00344897" w:rsidP="00344897">
                  <w:pPr>
                    <w:jc w:val="center"/>
                  </w:pPr>
                  <w:r w:rsidRPr="0004179C">
                    <w:t>68%</w:t>
                  </w:r>
                </w:p>
              </w:tc>
              <w:tc>
                <w:tcPr>
                  <w:tcW w:w="103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44897" w:rsidRPr="0004179C" w:rsidRDefault="00344897" w:rsidP="00344897">
                  <w:pPr>
                    <w:jc w:val="center"/>
                  </w:pPr>
                  <w:r w:rsidRPr="0004179C">
                    <w:t>68%</w:t>
                  </w:r>
                </w:p>
              </w:tc>
              <w:tc>
                <w:tcPr>
                  <w:tcW w:w="3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44897" w:rsidRPr="0004179C" w:rsidRDefault="00344897" w:rsidP="00344897">
                  <w:pPr>
                    <w:jc w:val="center"/>
                  </w:pPr>
                </w:p>
              </w:tc>
            </w:tr>
          </w:tbl>
          <w:p w:rsidR="0004179C" w:rsidRPr="00C75847" w:rsidRDefault="0004179C" w:rsidP="005A0497"/>
        </w:tc>
      </w:tr>
      <w:tr w:rsidR="002476F5" w:rsidRPr="00623C7D" w:rsidTr="00031289">
        <w:tc>
          <w:tcPr>
            <w:tcW w:w="10044" w:type="dxa"/>
            <w:gridSpan w:val="3"/>
          </w:tcPr>
          <w:p w:rsidR="002476F5" w:rsidRDefault="00900698" w:rsidP="005A0497">
            <w:r w:rsidRPr="00A8410F">
              <w:rPr>
                <w:b/>
              </w:rPr>
              <w:t>Indicator a</w:t>
            </w:r>
            <w:r w:rsidR="002476F5" w:rsidRPr="00A8410F">
              <w:rPr>
                <w:b/>
              </w:rPr>
              <w:t>nalysis and discussion:</w:t>
            </w:r>
            <w:r w:rsidR="002476F5">
              <w:t xml:space="preserve"> While the overall trend is positive board members and stakeholders noted that there is wide variation when looking at </w:t>
            </w:r>
            <w:r w:rsidR="002E4265">
              <w:t>disaggregated</w:t>
            </w:r>
            <w:r w:rsidR="002476F5">
              <w:t xml:space="preserve"> data from each school district. It was recommended that the board explore why this variability exists and to compare how children compare on reading proficiency at the end of third grade.</w:t>
            </w:r>
            <w:r w:rsidR="002E4265">
              <w:t xml:space="preserve"> It was also recommended that </w:t>
            </w:r>
            <w:r w:rsidR="007E78AF">
              <w:t xml:space="preserve">childcare </w:t>
            </w:r>
            <w:r w:rsidR="002E4265">
              <w:t>settings be encouraged to use formative assessments such as Gold so that they can provide more timely support to young children.</w:t>
            </w:r>
          </w:p>
          <w:p w:rsidR="0054178B" w:rsidRPr="00C75847" w:rsidRDefault="0054178B" w:rsidP="005A0497"/>
        </w:tc>
      </w:tr>
    </w:tbl>
    <w:p w:rsidR="003C2571" w:rsidRDefault="003C2571"/>
    <w:p w:rsidR="00344897" w:rsidRDefault="00344897">
      <w:pPr>
        <w:tabs>
          <w:tab w:val="clear" w:pos="900"/>
        </w:tabs>
        <w:spacing w:before="0" w:after="0"/>
      </w:pPr>
      <w:r>
        <w:br w:type="page"/>
      </w:r>
    </w:p>
    <w:p w:rsidR="0054178B" w:rsidRDefault="0054178B"/>
    <w:tbl>
      <w:tblPr>
        <w:tblW w:w="100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21"/>
        <w:gridCol w:w="3107"/>
        <w:gridCol w:w="3916"/>
      </w:tblGrid>
      <w:tr w:rsidR="00631E93" w:rsidRPr="00623C7D" w:rsidTr="0054178B">
        <w:tc>
          <w:tcPr>
            <w:tcW w:w="2782" w:type="dxa"/>
            <w:shd w:val="clear" w:color="auto" w:fill="DBE5F1" w:themeFill="accent1" w:themeFillTint="33"/>
          </w:tcPr>
          <w:p w:rsidR="00631E93" w:rsidRPr="00623C7D" w:rsidRDefault="00631E93" w:rsidP="00631E93">
            <w:r>
              <w:t>Results Area</w:t>
            </w:r>
          </w:p>
        </w:tc>
        <w:tc>
          <w:tcPr>
            <w:tcW w:w="3113" w:type="dxa"/>
            <w:shd w:val="clear" w:color="auto" w:fill="DBE5F1" w:themeFill="accent1" w:themeFillTint="33"/>
          </w:tcPr>
          <w:p w:rsidR="00631E93" w:rsidRPr="00623C7D" w:rsidRDefault="00631E93" w:rsidP="00631E93">
            <w:r w:rsidRPr="00623C7D">
              <w:t>Priority</w:t>
            </w:r>
          </w:p>
        </w:tc>
        <w:tc>
          <w:tcPr>
            <w:tcW w:w="4149" w:type="dxa"/>
            <w:shd w:val="clear" w:color="auto" w:fill="DBE5F1" w:themeFill="accent1" w:themeFillTint="33"/>
          </w:tcPr>
          <w:p w:rsidR="00631E93" w:rsidRPr="00623C7D" w:rsidRDefault="00631E93" w:rsidP="00631E93">
            <w:r w:rsidRPr="00623C7D">
              <w:t>Rationale for Identification or Deletion of Priority</w:t>
            </w:r>
          </w:p>
        </w:tc>
      </w:tr>
      <w:tr w:rsidR="00990A2B" w:rsidRPr="00623C7D" w:rsidTr="0054178B">
        <w:tc>
          <w:tcPr>
            <w:tcW w:w="2782" w:type="dxa"/>
          </w:tcPr>
          <w:p w:rsidR="00990A2B" w:rsidRPr="002E4265" w:rsidRDefault="00C75847" w:rsidP="005A0497">
            <w:r w:rsidRPr="002E4265">
              <w:t>Secure and Nurturing Environments</w:t>
            </w:r>
          </w:p>
        </w:tc>
        <w:tc>
          <w:tcPr>
            <w:tcW w:w="3113" w:type="dxa"/>
          </w:tcPr>
          <w:p w:rsidR="00990A2B" w:rsidRPr="0008719B" w:rsidRDefault="00C75847" w:rsidP="005A0497">
            <w:r w:rsidRPr="00C75847">
              <w:t>Support experienced and well trained early childhood providers and staff members</w:t>
            </w:r>
          </w:p>
        </w:tc>
        <w:tc>
          <w:tcPr>
            <w:tcW w:w="4149" w:type="dxa"/>
          </w:tcPr>
          <w:p w:rsidR="00990A2B" w:rsidRPr="0008719B" w:rsidRDefault="00C75847" w:rsidP="005A0497">
            <w:r w:rsidRPr="00C75847">
              <w:t>It is crucial to have well trained staff providing services in the local early childhood system of services.  The Board will work with community partners to support resources that ad</w:t>
            </w:r>
            <w:r w:rsidR="00EC1F6D">
              <w:t>vance</w:t>
            </w:r>
            <w:r w:rsidRPr="00C75847">
              <w:t xml:space="preserve"> the professional development needs of early childhood providers.</w:t>
            </w:r>
          </w:p>
        </w:tc>
      </w:tr>
      <w:tr w:rsidR="002476F5" w:rsidRPr="00623C7D" w:rsidTr="00031289">
        <w:tc>
          <w:tcPr>
            <w:tcW w:w="10044" w:type="dxa"/>
            <w:gridSpan w:val="3"/>
          </w:tcPr>
          <w:p w:rsidR="002476F5" w:rsidRPr="00C75847" w:rsidRDefault="002476F5" w:rsidP="005A0497">
            <w:r w:rsidRPr="002476F5">
              <w:rPr>
                <w:noProof/>
              </w:rPr>
              <w:drawing>
                <wp:inline distT="0" distB="0" distL="0" distR="0">
                  <wp:extent cx="6242050" cy="1657350"/>
                  <wp:effectExtent l="19050" t="0" r="2540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17CBC" w:rsidRPr="00623C7D" w:rsidTr="00031289">
        <w:tc>
          <w:tcPr>
            <w:tcW w:w="10044" w:type="dxa"/>
            <w:gridSpan w:val="3"/>
          </w:tcPr>
          <w:tbl>
            <w:tblPr>
              <w:tblW w:w="8167" w:type="dxa"/>
              <w:tblLook w:val="04A0"/>
            </w:tblPr>
            <w:tblGrid>
              <w:gridCol w:w="1220"/>
              <w:gridCol w:w="1080"/>
              <w:gridCol w:w="1100"/>
              <w:gridCol w:w="1160"/>
              <w:gridCol w:w="1100"/>
              <w:gridCol w:w="860"/>
              <w:gridCol w:w="1647"/>
            </w:tblGrid>
            <w:tr w:rsidR="00C17CBC" w:rsidRPr="00C17CBC" w:rsidTr="00C17CBC">
              <w:trPr>
                <w:trHeight w:val="290"/>
              </w:trPr>
              <w:tc>
                <w:tcPr>
                  <w:tcW w:w="12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17CBC" w:rsidRPr="00C17CBC" w:rsidRDefault="00C17CBC" w:rsidP="00C17CBC">
                  <w:pPr>
                    <w:tabs>
                      <w:tab w:val="clear" w:pos="900"/>
                    </w:tabs>
                    <w:spacing w:before="0" w:after="0"/>
                    <w:rPr>
                      <w:rFonts w:ascii="Calibri" w:eastAsia="Times New Roman" w:hAnsi="Calibri"/>
                      <w:b/>
                      <w:bCs/>
                      <w:sz w:val="22"/>
                      <w:szCs w:val="22"/>
                    </w:rPr>
                  </w:pPr>
                  <w:r w:rsidRPr="00C17CBC">
                    <w:rPr>
                      <w:rFonts w:ascii="Calibri" w:eastAsia="Times New Roman" w:hAnsi="Calibri"/>
                      <w:b/>
                      <w:bCs/>
                      <w:sz w:val="22"/>
                      <w:szCs w:val="22"/>
                    </w:rPr>
                    <w:t>Year</w:t>
                  </w:r>
                </w:p>
              </w:tc>
              <w:tc>
                <w:tcPr>
                  <w:tcW w:w="108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17CBC" w:rsidRPr="00C17CBC" w:rsidRDefault="00C17CBC" w:rsidP="00C17CBC">
                  <w:pPr>
                    <w:tabs>
                      <w:tab w:val="clear" w:pos="900"/>
                    </w:tabs>
                    <w:spacing w:before="0" w:after="0"/>
                    <w:jc w:val="center"/>
                    <w:rPr>
                      <w:rFonts w:ascii="Calibri" w:eastAsia="Times New Roman" w:hAnsi="Calibri"/>
                      <w:b/>
                      <w:bCs/>
                      <w:sz w:val="22"/>
                      <w:szCs w:val="22"/>
                    </w:rPr>
                  </w:pPr>
                  <w:r w:rsidRPr="00C17CBC">
                    <w:rPr>
                      <w:rFonts w:ascii="Calibri" w:eastAsia="Times New Roman" w:hAnsi="Calibri"/>
                      <w:b/>
                      <w:bCs/>
                      <w:sz w:val="22"/>
                      <w:szCs w:val="22"/>
                    </w:rPr>
                    <w:t>2011</w:t>
                  </w:r>
                </w:p>
              </w:tc>
              <w:tc>
                <w:tcPr>
                  <w:tcW w:w="11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17CBC" w:rsidRPr="00C17CBC" w:rsidRDefault="00C17CBC" w:rsidP="00C17CBC">
                  <w:pPr>
                    <w:tabs>
                      <w:tab w:val="clear" w:pos="900"/>
                    </w:tabs>
                    <w:spacing w:before="0" w:after="0"/>
                    <w:jc w:val="center"/>
                    <w:rPr>
                      <w:rFonts w:ascii="Calibri" w:eastAsia="Times New Roman" w:hAnsi="Calibri"/>
                      <w:b/>
                      <w:bCs/>
                      <w:sz w:val="22"/>
                      <w:szCs w:val="22"/>
                    </w:rPr>
                  </w:pPr>
                  <w:r w:rsidRPr="00C17CBC">
                    <w:rPr>
                      <w:rFonts w:ascii="Calibri" w:eastAsia="Times New Roman" w:hAnsi="Calibri"/>
                      <w:b/>
                      <w:bCs/>
                      <w:sz w:val="22"/>
                      <w:szCs w:val="22"/>
                    </w:rPr>
                    <w:t>2015</w:t>
                  </w:r>
                </w:p>
              </w:tc>
              <w:tc>
                <w:tcPr>
                  <w:tcW w:w="11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17CBC" w:rsidRPr="00C17CBC" w:rsidRDefault="00C17CBC" w:rsidP="00C17CBC">
                  <w:pPr>
                    <w:tabs>
                      <w:tab w:val="clear" w:pos="900"/>
                    </w:tabs>
                    <w:spacing w:before="0" w:after="0"/>
                    <w:jc w:val="center"/>
                    <w:rPr>
                      <w:rFonts w:ascii="Calibri" w:eastAsia="Times New Roman" w:hAnsi="Calibri"/>
                      <w:b/>
                      <w:bCs/>
                      <w:sz w:val="22"/>
                      <w:szCs w:val="22"/>
                    </w:rPr>
                  </w:pPr>
                  <w:r w:rsidRPr="00C17CBC">
                    <w:rPr>
                      <w:rFonts w:ascii="Calibri" w:eastAsia="Times New Roman" w:hAnsi="Calibri"/>
                      <w:b/>
                      <w:bCs/>
                      <w:sz w:val="22"/>
                      <w:szCs w:val="22"/>
                    </w:rPr>
                    <w:t>2016</w:t>
                  </w:r>
                </w:p>
              </w:tc>
              <w:tc>
                <w:tcPr>
                  <w:tcW w:w="11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17CBC" w:rsidRPr="00C17CBC" w:rsidRDefault="00C17CBC" w:rsidP="00C17CBC">
                  <w:pPr>
                    <w:tabs>
                      <w:tab w:val="clear" w:pos="900"/>
                    </w:tabs>
                    <w:spacing w:before="0" w:after="0"/>
                    <w:jc w:val="center"/>
                    <w:rPr>
                      <w:rFonts w:ascii="Calibri" w:eastAsia="Times New Roman" w:hAnsi="Calibri"/>
                      <w:b/>
                      <w:bCs/>
                      <w:sz w:val="22"/>
                      <w:szCs w:val="22"/>
                    </w:rPr>
                  </w:pPr>
                  <w:r w:rsidRPr="00C17CBC">
                    <w:rPr>
                      <w:rFonts w:ascii="Calibri" w:eastAsia="Times New Roman" w:hAnsi="Calibri"/>
                      <w:b/>
                      <w:bCs/>
                      <w:sz w:val="22"/>
                      <w:szCs w:val="22"/>
                    </w:rPr>
                    <w:t>2017</w:t>
                  </w:r>
                </w:p>
              </w:tc>
              <w:tc>
                <w:tcPr>
                  <w:tcW w:w="860" w:type="dxa"/>
                  <w:tcBorders>
                    <w:top w:val="single" w:sz="4" w:space="0" w:color="auto"/>
                    <w:left w:val="single" w:sz="4" w:space="0" w:color="auto"/>
                    <w:bottom w:val="single" w:sz="4" w:space="0" w:color="auto"/>
                    <w:right w:val="nil"/>
                  </w:tcBorders>
                  <w:shd w:val="clear" w:color="auto" w:fill="8DB3E2" w:themeFill="text2" w:themeFillTint="66"/>
                  <w:noWrap/>
                  <w:vAlign w:val="bottom"/>
                  <w:hideMark/>
                </w:tcPr>
                <w:p w:rsidR="00C17CBC" w:rsidRPr="00C17CBC" w:rsidRDefault="00C17CBC" w:rsidP="00C17CBC">
                  <w:pPr>
                    <w:tabs>
                      <w:tab w:val="clear" w:pos="900"/>
                    </w:tabs>
                    <w:spacing w:before="0" w:after="0"/>
                    <w:jc w:val="center"/>
                    <w:rPr>
                      <w:rFonts w:ascii="Calibri" w:eastAsia="Times New Roman" w:hAnsi="Calibri"/>
                      <w:b/>
                      <w:bCs/>
                      <w:sz w:val="22"/>
                      <w:szCs w:val="22"/>
                    </w:rPr>
                  </w:pPr>
                  <w:r w:rsidRPr="00C17CBC">
                    <w:rPr>
                      <w:rFonts w:ascii="Calibri" w:eastAsia="Times New Roman" w:hAnsi="Calibri"/>
                      <w:b/>
                      <w:bCs/>
                      <w:sz w:val="22"/>
                      <w:szCs w:val="22"/>
                    </w:rPr>
                    <w:t>2018</w:t>
                  </w:r>
                </w:p>
              </w:tc>
              <w:tc>
                <w:tcPr>
                  <w:tcW w:w="164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17CBC" w:rsidRPr="00C17CBC" w:rsidRDefault="00C17CBC" w:rsidP="00C17CBC">
                  <w:pPr>
                    <w:tabs>
                      <w:tab w:val="clear" w:pos="900"/>
                    </w:tabs>
                    <w:spacing w:before="0" w:after="0"/>
                    <w:jc w:val="center"/>
                    <w:rPr>
                      <w:rFonts w:ascii="Calibri" w:eastAsia="Times New Roman" w:hAnsi="Calibri"/>
                      <w:b/>
                      <w:bCs/>
                      <w:sz w:val="22"/>
                      <w:szCs w:val="22"/>
                    </w:rPr>
                  </w:pPr>
                  <w:r w:rsidRPr="00C17CBC">
                    <w:rPr>
                      <w:rFonts w:ascii="Calibri" w:eastAsia="Times New Roman" w:hAnsi="Calibri"/>
                      <w:b/>
                      <w:bCs/>
                      <w:sz w:val="22"/>
                      <w:szCs w:val="22"/>
                    </w:rPr>
                    <w:t>2022  Goal</w:t>
                  </w:r>
                </w:p>
              </w:tc>
            </w:tr>
            <w:tr w:rsidR="00C17CBC" w:rsidRPr="00C17CBC" w:rsidTr="00C17CBC">
              <w:trPr>
                <w:trHeight w:val="290"/>
              </w:trPr>
              <w:tc>
                <w:tcPr>
                  <w:tcW w:w="12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C17CBC" w:rsidRPr="00C17CBC" w:rsidRDefault="00C17CBC" w:rsidP="00C17CBC">
                  <w:pPr>
                    <w:tabs>
                      <w:tab w:val="clear" w:pos="900"/>
                    </w:tabs>
                    <w:spacing w:before="0" w:after="0"/>
                    <w:rPr>
                      <w:rFonts w:ascii="Calibri" w:eastAsia="Times New Roman" w:hAnsi="Calibri"/>
                      <w:color w:val="000000"/>
                      <w:sz w:val="22"/>
                      <w:szCs w:val="22"/>
                    </w:rPr>
                  </w:pPr>
                  <w:r w:rsidRPr="00C17CBC">
                    <w:rPr>
                      <w:rFonts w:ascii="Calibri" w:eastAsia="Times New Roman" w:hAnsi="Calibri"/>
                      <w:color w:val="000000"/>
                      <w:sz w:val="22"/>
                      <w:szCs w:val="22"/>
                    </w:rPr>
                    <w:t>CC Homes</w:t>
                  </w:r>
                </w:p>
              </w:tc>
              <w:tc>
                <w:tcPr>
                  <w:tcW w:w="10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C17CBC" w:rsidRPr="00C17CBC" w:rsidRDefault="00C17CBC" w:rsidP="00C17CBC">
                  <w:pPr>
                    <w:tabs>
                      <w:tab w:val="clear" w:pos="900"/>
                    </w:tabs>
                    <w:spacing w:before="0" w:after="0"/>
                    <w:jc w:val="right"/>
                    <w:rPr>
                      <w:rFonts w:ascii="Calibri" w:eastAsia="Times New Roman" w:hAnsi="Calibri"/>
                      <w:color w:val="000000"/>
                      <w:sz w:val="22"/>
                      <w:szCs w:val="22"/>
                    </w:rPr>
                  </w:pPr>
                  <w:r w:rsidRPr="00C17CBC">
                    <w:rPr>
                      <w:rFonts w:ascii="Calibri" w:eastAsia="Times New Roman" w:hAnsi="Calibri"/>
                      <w:color w:val="000000"/>
                      <w:sz w:val="22"/>
                      <w:szCs w:val="22"/>
                    </w:rPr>
                    <w:t>15</w:t>
                  </w:r>
                </w:p>
              </w:tc>
              <w:tc>
                <w:tcPr>
                  <w:tcW w:w="1100" w:type="dxa"/>
                  <w:tcBorders>
                    <w:top w:val="nil"/>
                    <w:left w:val="single" w:sz="4" w:space="0" w:color="auto"/>
                    <w:bottom w:val="single" w:sz="4" w:space="0" w:color="auto"/>
                    <w:right w:val="single" w:sz="4" w:space="0" w:color="auto"/>
                  </w:tcBorders>
                  <w:shd w:val="clear" w:color="B8CCE4" w:fill="B8CCE4"/>
                  <w:noWrap/>
                  <w:vAlign w:val="bottom"/>
                  <w:hideMark/>
                </w:tcPr>
                <w:p w:rsidR="00C17CBC" w:rsidRPr="00C17CBC" w:rsidRDefault="00C17CBC" w:rsidP="00C17CBC">
                  <w:pPr>
                    <w:tabs>
                      <w:tab w:val="clear" w:pos="900"/>
                    </w:tabs>
                    <w:spacing w:before="0" w:after="0"/>
                    <w:jc w:val="right"/>
                    <w:rPr>
                      <w:rFonts w:ascii="Calibri" w:eastAsia="Times New Roman" w:hAnsi="Calibri"/>
                      <w:color w:val="000000"/>
                      <w:sz w:val="22"/>
                      <w:szCs w:val="22"/>
                    </w:rPr>
                  </w:pPr>
                  <w:r w:rsidRPr="00C17CBC">
                    <w:rPr>
                      <w:rFonts w:ascii="Calibri" w:eastAsia="Times New Roman" w:hAnsi="Calibri"/>
                      <w:color w:val="000000"/>
                      <w:sz w:val="22"/>
                      <w:szCs w:val="22"/>
                    </w:rPr>
                    <w:t>25</w:t>
                  </w:r>
                </w:p>
              </w:tc>
              <w:tc>
                <w:tcPr>
                  <w:tcW w:w="1160" w:type="dxa"/>
                  <w:tcBorders>
                    <w:top w:val="nil"/>
                    <w:left w:val="single" w:sz="4" w:space="0" w:color="auto"/>
                    <w:bottom w:val="single" w:sz="4" w:space="0" w:color="auto"/>
                    <w:right w:val="single" w:sz="4" w:space="0" w:color="auto"/>
                  </w:tcBorders>
                  <w:shd w:val="clear" w:color="B8CCE4" w:fill="B8CCE4"/>
                  <w:noWrap/>
                  <w:vAlign w:val="bottom"/>
                  <w:hideMark/>
                </w:tcPr>
                <w:p w:rsidR="00C17CBC" w:rsidRPr="00C17CBC" w:rsidRDefault="00C17CBC" w:rsidP="00C17CBC">
                  <w:pPr>
                    <w:tabs>
                      <w:tab w:val="clear" w:pos="900"/>
                    </w:tabs>
                    <w:spacing w:before="0" w:after="0"/>
                    <w:jc w:val="right"/>
                    <w:rPr>
                      <w:rFonts w:ascii="Calibri" w:eastAsia="Times New Roman" w:hAnsi="Calibri"/>
                      <w:color w:val="000000"/>
                      <w:sz w:val="22"/>
                      <w:szCs w:val="22"/>
                    </w:rPr>
                  </w:pPr>
                  <w:r w:rsidRPr="00C17CBC">
                    <w:rPr>
                      <w:rFonts w:ascii="Calibri" w:eastAsia="Times New Roman" w:hAnsi="Calibri"/>
                      <w:color w:val="000000"/>
                      <w:sz w:val="22"/>
                      <w:szCs w:val="22"/>
                    </w:rPr>
                    <w:t>19</w:t>
                  </w:r>
                </w:p>
              </w:tc>
              <w:tc>
                <w:tcPr>
                  <w:tcW w:w="1100" w:type="dxa"/>
                  <w:tcBorders>
                    <w:top w:val="nil"/>
                    <w:left w:val="single" w:sz="4" w:space="0" w:color="auto"/>
                    <w:bottom w:val="single" w:sz="4" w:space="0" w:color="auto"/>
                    <w:right w:val="single" w:sz="4" w:space="0" w:color="auto"/>
                  </w:tcBorders>
                  <w:shd w:val="clear" w:color="B8CCE4" w:fill="B8CCE4"/>
                  <w:noWrap/>
                  <w:vAlign w:val="bottom"/>
                  <w:hideMark/>
                </w:tcPr>
                <w:p w:rsidR="00C17CBC" w:rsidRPr="00C17CBC" w:rsidRDefault="00C17CBC" w:rsidP="00C17CBC">
                  <w:pPr>
                    <w:tabs>
                      <w:tab w:val="clear" w:pos="900"/>
                    </w:tabs>
                    <w:spacing w:before="0" w:after="0"/>
                    <w:jc w:val="right"/>
                    <w:rPr>
                      <w:rFonts w:ascii="Calibri" w:eastAsia="Times New Roman" w:hAnsi="Calibri"/>
                      <w:color w:val="000000"/>
                      <w:sz w:val="22"/>
                      <w:szCs w:val="22"/>
                    </w:rPr>
                  </w:pPr>
                  <w:r w:rsidRPr="00C17CBC">
                    <w:rPr>
                      <w:rFonts w:ascii="Calibri" w:eastAsia="Times New Roman" w:hAnsi="Calibri"/>
                      <w:color w:val="000000"/>
                      <w:sz w:val="22"/>
                      <w:szCs w:val="22"/>
                    </w:rPr>
                    <w:t>12</w:t>
                  </w:r>
                </w:p>
              </w:tc>
              <w:tc>
                <w:tcPr>
                  <w:tcW w:w="860" w:type="dxa"/>
                  <w:tcBorders>
                    <w:top w:val="nil"/>
                    <w:left w:val="single" w:sz="4" w:space="0" w:color="auto"/>
                    <w:bottom w:val="single" w:sz="4" w:space="0" w:color="auto"/>
                    <w:right w:val="single" w:sz="4" w:space="0" w:color="auto"/>
                  </w:tcBorders>
                  <w:shd w:val="clear" w:color="B8CCE4" w:fill="B8CCE4"/>
                  <w:noWrap/>
                  <w:vAlign w:val="bottom"/>
                  <w:hideMark/>
                </w:tcPr>
                <w:p w:rsidR="00C17CBC" w:rsidRPr="00C17CBC" w:rsidRDefault="00C17CBC" w:rsidP="00C17CBC">
                  <w:pPr>
                    <w:tabs>
                      <w:tab w:val="clear" w:pos="900"/>
                    </w:tabs>
                    <w:spacing w:before="0" w:after="0"/>
                    <w:jc w:val="right"/>
                    <w:rPr>
                      <w:rFonts w:ascii="Calibri" w:eastAsia="Times New Roman" w:hAnsi="Calibri"/>
                      <w:color w:val="000000"/>
                      <w:sz w:val="22"/>
                      <w:szCs w:val="22"/>
                    </w:rPr>
                  </w:pPr>
                  <w:r w:rsidRPr="00C17CBC">
                    <w:rPr>
                      <w:rFonts w:ascii="Calibri" w:eastAsia="Times New Roman" w:hAnsi="Calibri"/>
                      <w:color w:val="000000"/>
                      <w:sz w:val="22"/>
                      <w:szCs w:val="22"/>
                    </w:rPr>
                    <w:t>17</w:t>
                  </w:r>
                </w:p>
              </w:tc>
              <w:tc>
                <w:tcPr>
                  <w:tcW w:w="164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C17CBC" w:rsidRPr="00C17CBC" w:rsidRDefault="00E01DFB" w:rsidP="00C17CBC">
                  <w:pPr>
                    <w:tabs>
                      <w:tab w:val="clear" w:pos="900"/>
                    </w:tabs>
                    <w:spacing w:before="0" w:after="0"/>
                    <w:jc w:val="center"/>
                    <w:rPr>
                      <w:rFonts w:ascii="Calibri" w:eastAsia="Times New Roman" w:hAnsi="Calibri"/>
                      <w:color w:val="000000"/>
                      <w:sz w:val="22"/>
                      <w:szCs w:val="22"/>
                    </w:rPr>
                  </w:pPr>
                  <w:r>
                    <w:rPr>
                      <w:rFonts w:ascii="Calibri" w:eastAsia="Times New Roman" w:hAnsi="Calibri"/>
                      <w:color w:val="000000"/>
                      <w:sz w:val="22"/>
                      <w:szCs w:val="22"/>
                    </w:rPr>
                    <w:t>26</w:t>
                  </w:r>
                </w:p>
              </w:tc>
            </w:tr>
            <w:tr w:rsidR="00C17CBC" w:rsidRPr="00C17CBC" w:rsidTr="00C17CBC">
              <w:trPr>
                <w:trHeight w:val="290"/>
              </w:trPr>
              <w:tc>
                <w:tcPr>
                  <w:tcW w:w="12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C17CBC" w:rsidRPr="00C17CBC" w:rsidRDefault="00C17CBC" w:rsidP="00C17CBC">
                  <w:pPr>
                    <w:tabs>
                      <w:tab w:val="clear" w:pos="900"/>
                    </w:tabs>
                    <w:spacing w:before="0" w:after="0"/>
                    <w:rPr>
                      <w:rFonts w:ascii="Calibri" w:eastAsia="Times New Roman" w:hAnsi="Calibri"/>
                      <w:color w:val="000000"/>
                      <w:sz w:val="22"/>
                      <w:szCs w:val="22"/>
                    </w:rPr>
                  </w:pPr>
                  <w:r w:rsidRPr="00C17CBC">
                    <w:rPr>
                      <w:rFonts w:ascii="Calibri" w:eastAsia="Times New Roman" w:hAnsi="Calibri"/>
                      <w:color w:val="000000"/>
                      <w:sz w:val="22"/>
                      <w:szCs w:val="22"/>
                    </w:rPr>
                    <w:t>CC Centers</w:t>
                  </w:r>
                </w:p>
              </w:tc>
              <w:tc>
                <w:tcPr>
                  <w:tcW w:w="10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C17CBC" w:rsidRPr="00C17CBC" w:rsidRDefault="00C17CBC" w:rsidP="00C17CBC">
                  <w:pPr>
                    <w:tabs>
                      <w:tab w:val="clear" w:pos="900"/>
                    </w:tabs>
                    <w:spacing w:before="0" w:after="0"/>
                    <w:jc w:val="right"/>
                    <w:rPr>
                      <w:rFonts w:ascii="Calibri" w:eastAsia="Times New Roman" w:hAnsi="Calibri"/>
                      <w:color w:val="000000"/>
                      <w:sz w:val="22"/>
                      <w:szCs w:val="22"/>
                    </w:rPr>
                  </w:pPr>
                  <w:r w:rsidRPr="00C17CBC">
                    <w:rPr>
                      <w:rFonts w:ascii="Calibri" w:eastAsia="Times New Roman" w:hAnsi="Calibri"/>
                      <w:color w:val="000000"/>
                      <w:sz w:val="22"/>
                      <w:szCs w:val="22"/>
                    </w:rPr>
                    <w:t>10</w:t>
                  </w:r>
                </w:p>
              </w:tc>
              <w:tc>
                <w:tcPr>
                  <w:tcW w:w="110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C17CBC" w:rsidRPr="00C17CBC" w:rsidRDefault="00C17CBC" w:rsidP="00C17CBC">
                  <w:pPr>
                    <w:tabs>
                      <w:tab w:val="clear" w:pos="900"/>
                    </w:tabs>
                    <w:spacing w:before="0" w:after="0"/>
                    <w:jc w:val="right"/>
                    <w:rPr>
                      <w:rFonts w:ascii="Calibri" w:eastAsia="Times New Roman" w:hAnsi="Calibri"/>
                      <w:color w:val="000000"/>
                      <w:sz w:val="22"/>
                      <w:szCs w:val="22"/>
                    </w:rPr>
                  </w:pPr>
                  <w:r w:rsidRPr="00C17CBC">
                    <w:rPr>
                      <w:rFonts w:ascii="Calibri" w:eastAsia="Times New Roman" w:hAnsi="Calibri"/>
                      <w:color w:val="000000"/>
                      <w:sz w:val="22"/>
                      <w:szCs w:val="22"/>
                    </w:rPr>
                    <w:t>16</w:t>
                  </w:r>
                </w:p>
              </w:tc>
              <w:tc>
                <w:tcPr>
                  <w:tcW w:w="11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C17CBC" w:rsidRPr="00C17CBC" w:rsidRDefault="00C17CBC" w:rsidP="00C17CBC">
                  <w:pPr>
                    <w:tabs>
                      <w:tab w:val="clear" w:pos="900"/>
                    </w:tabs>
                    <w:spacing w:before="0" w:after="0"/>
                    <w:jc w:val="right"/>
                    <w:rPr>
                      <w:rFonts w:ascii="Calibri" w:eastAsia="Times New Roman" w:hAnsi="Calibri"/>
                      <w:color w:val="000000"/>
                      <w:sz w:val="22"/>
                      <w:szCs w:val="22"/>
                    </w:rPr>
                  </w:pPr>
                  <w:r w:rsidRPr="00C17CBC">
                    <w:rPr>
                      <w:rFonts w:ascii="Calibri" w:eastAsia="Times New Roman" w:hAnsi="Calibri"/>
                      <w:color w:val="000000"/>
                      <w:sz w:val="22"/>
                      <w:szCs w:val="22"/>
                    </w:rPr>
                    <w:t>15</w:t>
                  </w:r>
                </w:p>
              </w:tc>
              <w:tc>
                <w:tcPr>
                  <w:tcW w:w="110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C17CBC" w:rsidRPr="00C17CBC" w:rsidRDefault="00C17CBC" w:rsidP="00C17CBC">
                  <w:pPr>
                    <w:tabs>
                      <w:tab w:val="clear" w:pos="900"/>
                    </w:tabs>
                    <w:spacing w:before="0" w:after="0"/>
                    <w:jc w:val="right"/>
                    <w:rPr>
                      <w:rFonts w:ascii="Calibri" w:eastAsia="Times New Roman" w:hAnsi="Calibri"/>
                      <w:color w:val="000000"/>
                      <w:sz w:val="22"/>
                      <w:szCs w:val="22"/>
                    </w:rPr>
                  </w:pPr>
                  <w:r w:rsidRPr="00C17CBC">
                    <w:rPr>
                      <w:rFonts w:ascii="Calibri" w:eastAsia="Times New Roman" w:hAnsi="Calibri"/>
                      <w:color w:val="000000"/>
                      <w:sz w:val="22"/>
                      <w:szCs w:val="22"/>
                    </w:rPr>
                    <w:t>10</w:t>
                  </w:r>
                </w:p>
              </w:tc>
              <w:tc>
                <w:tcPr>
                  <w:tcW w:w="8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C17CBC" w:rsidRPr="00C17CBC" w:rsidRDefault="00C17CBC" w:rsidP="00C17CBC">
                  <w:pPr>
                    <w:tabs>
                      <w:tab w:val="clear" w:pos="900"/>
                    </w:tabs>
                    <w:spacing w:before="0" w:after="0"/>
                    <w:jc w:val="right"/>
                    <w:rPr>
                      <w:rFonts w:ascii="Calibri" w:eastAsia="Times New Roman" w:hAnsi="Calibri"/>
                      <w:color w:val="000000"/>
                      <w:sz w:val="22"/>
                      <w:szCs w:val="22"/>
                    </w:rPr>
                  </w:pPr>
                  <w:r w:rsidRPr="00C17CBC">
                    <w:rPr>
                      <w:rFonts w:ascii="Calibri" w:eastAsia="Times New Roman" w:hAnsi="Calibri"/>
                      <w:color w:val="000000"/>
                      <w:sz w:val="22"/>
                      <w:szCs w:val="22"/>
                    </w:rPr>
                    <w:t>10</w:t>
                  </w:r>
                </w:p>
              </w:tc>
              <w:tc>
                <w:tcPr>
                  <w:tcW w:w="164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C17CBC" w:rsidRPr="00C17CBC" w:rsidRDefault="00E01DFB" w:rsidP="00C17CBC">
                  <w:pPr>
                    <w:tabs>
                      <w:tab w:val="clear" w:pos="900"/>
                    </w:tabs>
                    <w:spacing w:before="0" w:after="0"/>
                    <w:jc w:val="center"/>
                    <w:rPr>
                      <w:rFonts w:ascii="Calibri" w:eastAsia="Times New Roman" w:hAnsi="Calibri"/>
                      <w:color w:val="000000"/>
                      <w:sz w:val="22"/>
                      <w:szCs w:val="22"/>
                    </w:rPr>
                  </w:pPr>
                  <w:r>
                    <w:rPr>
                      <w:rFonts w:ascii="Calibri" w:eastAsia="Times New Roman" w:hAnsi="Calibri"/>
                      <w:color w:val="000000"/>
                      <w:sz w:val="22"/>
                      <w:szCs w:val="22"/>
                    </w:rPr>
                    <w:t>17</w:t>
                  </w:r>
                </w:p>
              </w:tc>
            </w:tr>
          </w:tbl>
          <w:p w:rsidR="00C17CBC" w:rsidRPr="00A8410F" w:rsidRDefault="00C17CBC" w:rsidP="001A1BF4">
            <w:pPr>
              <w:rPr>
                <w:b/>
              </w:rPr>
            </w:pPr>
          </w:p>
        </w:tc>
      </w:tr>
      <w:tr w:rsidR="002476F5" w:rsidRPr="00623C7D" w:rsidTr="00031289">
        <w:tc>
          <w:tcPr>
            <w:tcW w:w="10044" w:type="dxa"/>
            <w:gridSpan w:val="3"/>
          </w:tcPr>
          <w:p w:rsidR="001A1BF4" w:rsidRDefault="00A8410F" w:rsidP="001A1BF4">
            <w:r w:rsidRPr="00A8410F">
              <w:rPr>
                <w:b/>
              </w:rPr>
              <w:t>Indicator analysis and discussion:</w:t>
            </w:r>
            <w:r>
              <w:t xml:space="preserve"> </w:t>
            </w:r>
            <w:r w:rsidR="001A1BF4" w:rsidRPr="007A01D5">
              <w:t>It was noted that the number of quality rated centers and homes was increasing but we are concerned that a majority of home providers do not participate in QRS.</w:t>
            </w:r>
            <w:r w:rsidR="001A1BF4">
              <w:t xml:space="preserve"> </w:t>
            </w:r>
          </w:p>
          <w:p w:rsidR="002476F5" w:rsidRDefault="002E4265" w:rsidP="005A0497">
            <w:r>
              <w:t xml:space="preserve">Board members and stakeholders noted that </w:t>
            </w:r>
            <w:r w:rsidR="00FE7CC2">
              <w:t xml:space="preserve">families with limited incomes are often forced to place affordability ahead of quality when choosing childcare. While studies show that high quality is an essential component of imparting lasting benefits in early education; </w:t>
            </w:r>
            <w:r w:rsidR="009B2249">
              <w:t xml:space="preserve">families also need to be able to afford </w:t>
            </w:r>
            <w:r w:rsidR="00FE7CC2">
              <w:t>high quality care.</w:t>
            </w:r>
            <w:r w:rsidR="00031289">
              <w:t xml:space="preserve"> Currently access is limited for at risk children.</w:t>
            </w:r>
          </w:p>
          <w:p w:rsidR="001A1BF4" w:rsidRDefault="001A1BF4" w:rsidP="005A0497">
            <w:r>
              <w:t>I</w:t>
            </w:r>
            <w:r w:rsidR="00C17CBC">
              <w:t xml:space="preserve">t was recommended that </w:t>
            </w:r>
            <w:r w:rsidR="00C11671">
              <w:t>an</w:t>
            </w:r>
            <w:r w:rsidR="00C17CBC">
              <w:t xml:space="preserve"> indicator</w:t>
            </w:r>
            <w:r w:rsidR="00C11671">
              <w:t xml:space="preserve"> be used</w:t>
            </w:r>
            <w:r w:rsidR="00C17CBC">
              <w:t xml:space="preserve"> that gives equal weight to accessibility and quality.</w:t>
            </w:r>
          </w:p>
          <w:p w:rsidR="00900698" w:rsidRPr="00C75847" w:rsidRDefault="00900698" w:rsidP="005A0497"/>
        </w:tc>
      </w:tr>
    </w:tbl>
    <w:p w:rsidR="003C2571" w:rsidRDefault="003C2571"/>
    <w:p w:rsidR="003C2571" w:rsidRDefault="003C2571">
      <w:pPr>
        <w:tabs>
          <w:tab w:val="clear" w:pos="900"/>
        </w:tabs>
        <w:spacing w:before="0" w:after="0"/>
      </w:pPr>
      <w:r>
        <w:br w:type="page"/>
      </w:r>
    </w:p>
    <w:p w:rsidR="0054178B" w:rsidRDefault="0054178B"/>
    <w:tbl>
      <w:tblPr>
        <w:tblW w:w="100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85"/>
        <w:gridCol w:w="3297"/>
        <w:gridCol w:w="3862"/>
      </w:tblGrid>
      <w:tr w:rsidR="006D5489" w:rsidRPr="00623C7D" w:rsidTr="0054178B">
        <w:tc>
          <w:tcPr>
            <w:tcW w:w="2905" w:type="dxa"/>
            <w:shd w:val="clear" w:color="auto" w:fill="DBE5F1" w:themeFill="accent1" w:themeFillTint="33"/>
          </w:tcPr>
          <w:p w:rsidR="006D5489" w:rsidRPr="00623C7D" w:rsidRDefault="006D5489" w:rsidP="006D5489">
            <w:r>
              <w:t>Results Area</w:t>
            </w:r>
          </w:p>
        </w:tc>
        <w:tc>
          <w:tcPr>
            <w:tcW w:w="3197" w:type="dxa"/>
            <w:shd w:val="clear" w:color="auto" w:fill="DBE5F1" w:themeFill="accent1" w:themeFillTint="33"/>
          </w:tcPr>
          <w:p w:rsidR="006D5489" w:rsidRPr="00623C7D" w:rsidRDefault="006D5489" w:rsidP="006D5489">
            <w:r w:rsidRPr="00623C7D">
              <w:t>Priority</w:t>
            </w:r>
          </w:p>
        </w:tc>
        <w:tc>
          <w:tcPr>
            <w:tcW w:w="3942" w:type="dxa"/>
            <w:shd w:val="clear" w:color="auto" w:fill="DBE5F1" w:themeFill="accent1" w:themeFillTint="33"/>
          </w:tcPr>
          <w:p w:rsidR="006D5489" w:rsidRPr="00623C7D" w:rsidRDefault="006D5489" w:rsidP="006D5489">
            <w:r w:rsidRPr="00623C7D">
              <w:t>Rationale for Identification or Deletion of Priority</w:t>
            </w:r>
          </w:p>
        </w:tc>
      </w:tr>
      <w:tr w:rsidR="00990A2B" w:rsidRPr="00623C7D" w:rsidTr="0054178B">
        <w:tc>
          <w:tcPr>
            <w:tcW w:w="2905" w:type="dxa"/>
          </w:tcPr>
          <w:p w:rsidR="00990A2B" w:rsidRPr="0008719B" w:rsidRDefault="00C75847" w:rsidP="005A0497">
            <w:r w:rsidRPr="00C75847">
              <w:t>Secure and Nurturing Families</w:t>
            </w:r>
          </w:p>
        </w:tc>
        <w:tc>
          <w:tcPr>
            <w:tcW w:w="3197" w:type="dxa"/>
          </w:tcPr>
          <w:p w:rsidR="004E6C93" w:rsidRDefault="00C75847" w:rsidP="005A0497">
            <w:r w:rsidRPr="00C75847">
              <w:t xml:space="preserve">Enhance development of nurturing bonds and healthy relationships </w:t>
            </w:r>
          </w:p>
        </w:tc>
        <w:tc>
          <w:tcPr>
            <w:tcW w:w="3942" w:type="dxa"/>
          </w:tcPr>
          <w:p w:rsidR="00990A2B" w:rsidRPr="0008719B" w:rsidRDefault="00C75847" w:rsidP="005A0497">
            <w:r w:rsidRPr="00C75847">
              <w:t>Quality family support services are valuable resources for families of young children to encourage healthy and nurturing family relationships.  The Board will work with community partners to connect families with family support resources in the community.</w:t>
            </w:r>
          </w:p>
        </w:tc>
      </w:tr>
      <w:tr w:rsidR="00031289" w:rsidRPr="00623C7D" w:rsidTr="00031289">
        <w:tc>
          <w:tcPr>
            <w:tcW w:w="10044" w:type="dxa"/>
            <w:gridSpan w:val="3"/>
          </w:tcPr>
          <w:p w:rsidR="00031289" w:rsidRPr="00C75847" w:rsidRDefault="00354213" w:rsidP="005A0497">
            <w:r w:rsidRPr="00354213">
              <w:rPr>
                <w:noProof/>
              </w:rPr>
              <w:drawing>
                <wp:inline distT="0" distB="0" distL="0" distR="0">
                  <wp:extent cx="6203950" cy="1473200"/>
                  <wp:effectExtent l="19050" t="0" r="2540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031289" w:rsidRPr="00623C7D" w:rsidTr="00031289">
        <w:tc>
          <w:tcPr>
            <w:tcW w:w="10044" w:type="dxa"/>
            <w:gridSpan w:val="3"/>
          </w:tcPr>
          <w:tbl>
            <w:tblPr>
              <w:tblW w:w="9787" w:type="dxa"/>
              <w:tblLook w:val="04A0"/>
            </w:tblPr>
            <w:tblGrid>
              <w:gridCol w:w="1327"/>
              <w:gridCol w:w="1260"/>
              <w:gridCol w:w="1080"/>
              <w:gridCol w:w="1170"/>
              <w:gridCol w:w="1260"/>
              <w:gridCol w:w="1170"/>
              <w:gridCol w:w="2520"/>
            </w:tblGrid>
            <w:tr w:rsidR="00354213" w:rsidRPr="00354213" w:rsidTr="00E01DFB">
              <w:trPr>
                <w:trHeight w:val="290"/>
              </w:trPr>
              <w:tc>
                <w:tcPr>
                  <w:tcW w:w="132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54213" w:rsidRPr="00C17CBC" w:rsidRDefault="00354213" w:rsidP="005A0497">
                  <w:pPr>
                    <w:rPr>
                      <w:b/>
                    </w:rPr>
                  </w:pPr>
                  <w:r w:rsidRPr="00C17CBC">
                    <w:rPr>
                      <w:b/>
                    </w:rPr>
                    <w:t>Year</w:t>
                  </w:r>
                </w:p>
              </w:tc>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54213" w:rsidRPr="00C17CBC" w:rsidRDefault="00354213" w:rsidP="005A0497">
                  <w:pPr>
                    <w:rPr>
                      <w:b/>
                    </w:rPr>
                  </w:pPr>
                  <w:r w:rsidRPr="00C17CBC">
                    <w:rPr>
                      <w:b/>
                    </w:rPr>
                    <w:t>2010</w:t>
                  </w:r>
                </w:p>
              </w:tc>
              <w:tc>
                <w:tcPr>
                  <w:tcW w:w="108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54213" w:rsidRPr="00C17CBC" w:rsidRDefault="00354213" w:rsidP="005A0497">
                  <w:pPr>
                    <w:rPr>
                      <w:b/>
                    </w:rPr>
                  </w:pPr>
                  <w:r w:rsidRPr="00C17CBC">
                    <w:rPr>
                      <w:b/>
                    </w:rPr>
                    <w:t>2014</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54213" w:rsidRPr="00C17CBC" w:rsidRDefault="00354213" w:rsidP="005A0497">
                  <w:pPr>
                    <w:rPr>
                      <w:b/>
                    </w:rPr>
                  </w:pPr>
                  <w:r w:rsidRPr="00C17CBC">
                    <w:rPr>
                      <w:b/>
                    </w:rPr>
                    <w:t>2015</w:t>
                  </w:r>
                </w:p>
              </w:tc>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54213" w:rsidRPr="00C17CBC" w:rsidRDefault="00354213" w:rsidP="005A0497">
                  <w:pPr>
                    <w:rPr>
                      <w:b/>
                    </w:rPr>
                  </w:pPr>
                  <w:r w:rsidRPr="00C17CBC">
                    <w:rPr>
                      <w:b/>
                    </w:rPr>
                    <w:t>2016</w:t>
                  </w:r>
                </w:p>
              </w:tc>
              <w:tc>
                <w:tcPr>
                  <w:tcW w:w="1170" w:type="dxa"/>
                  <w:tcBorders>
                    <w:top w:val="single" w:sz="4" w:space="0" w:color="auto"/>
                    <w:left w:val="single" w:sz="4" w:space="0" w:color="auto"/>
                    <w:bottom w:val="single" w:sz="4" w:space="0" w:color="auto"/>
                    <w:right w:val="nil"/>
                  </w:tcBorders>
                  <w:shd w:val="clear" w:color="auto" w:fill="8DB3E2" w:themeFill="text2" w:themeFillTint="66"/>
                  <w:noWrap/>
                  <w:vAlign w:val="bottom"/>
                  <w:hideMark/>
                </w:tcPr>
                <w:p w:rsidR="00354213" w:rsidRPr="00C17CBC" w:rsidRDefault="00354213" w:rsidP="005A0497">
                  <w:pPr>
                    <w:rPr>
                      <w:b/>
                    </w:rPr>
                  </w:pPr>
                  <w:r w:rsidRPr="00C17CBC">
                    <w:rPr>
                      <w:b/>
                    </w:rPr>
                    <w:t>2017</w:t>
                  </w:r>
                </w:p>
              </w:tc>
              <w:tc>
                <w:tcPr>
                  <w:tcW w:w="25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54213" w:rsidRPr="00C17CBC" w:rsidRDefault="00354213" w:rsidP="005A0497">
                  <w:pPr>
                    <w:rPr>
                      <w:b/>
                    </w:rPr>
                  </w:pPr>
                  <w:r w:rsidRPr="00C17CBC">
                    <w:rPr>
                      <w:b/>
                    </w:rPr>
                    <w:t>2022 Goal</w:t>
                  </w:r>
                </w:p>
              </w:tc>
            </w:tr>
            <w:tr w:rsidR="00354213" w:rsidRPr="00354213" w:rsidTr="00E01DFB">
              <w:trPr>
                <w:trHeight w:val="290"/>
              </w:trPr>
              <w:tc>
                <w:tcPr>
                  <w:tcW w:w="132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354213" w:rsidRPr="00354213" w:rsidRDefault="00354213" w:rsidP="005A0497">
                  <w:r w:rsidRPr="00354213">
                    <w:t>Boone Co.</w:t>
                  </w:r>
                </w:p>
              </w:tc>
              <w:tc>
                <w:tcPr>
                  <w:tcW w:w="12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354213" w:rsidRPr="00354213" w:rsidRDefault="00354213" w:rsidP="005A0497">
                  <w:r w:rsidRPr="00354213">
                    <w:t>47</w:t>
                  </w:r>
                </w:p>
              </w:tc>
              <w:tc>
                <w:tcPr>
                  <w:tcW w:w="10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354213" w:rsidRPr="00354213" w:rsidRDefault="00354213" w:rsidP="005A0497">
                  <w:r w:rsidRPr="00354213">
                    <w:t>31</w:t>
                  </w:r>
                </w:p>
              </w:tc>
              <w:tc>
                <w:tcPr>
                  <w:tcW w:w="1170" w:type="dxa"/>
                  <w:tcBorders>
                    <w:top w:val="nil"/>
                    <w:left w:val="single" w:sz="4" w:space="0" w:color="auto"/>
                    <w:bottom w:val="single" w:sz="4" w:space="0" w:color="auto"/>
                    <w:right w:val="single" w:sz="4" w:space="0" w:color="auto"/>
                  </w:tcBorders>
                  <w:shd w:val="clear" w:color="B8CCE4" w:fill="B8CCE4"/>
                  <w:noWrap/>
                  <w:vAlign w:val="bottom"/>
                  <w:hideMark/>
                </w:tcPr>
                <w:p w:rsidR="00354213" w:rsidRPr="00354213" w:rsidRDefault="00354213" w:rsidP="005A0497">
                  <w:r w:rsidRPr="00354213">
                    <w:t>41</w:t>
                  </w:r>
                </w:p>
              </w:tc>
              <w:tc>
                <w:tcPr>
                  <w:tcW w:w="1260" w:type="dxa"/>
                  <w:tcBorders>
                    <w:top w:val="nil"/>
                    <w:left w:val="single" w:sz="4" w:space="0" w:color="auto"/>
                    <w:bottom w:val="single" w:sz="4" w:space="0" w:color="auto"/>
                    <w:right w:val="single" w:sz="4" w:space="0" w:color="auto"/>
                  </w:tcBorders>
                  <w:shd w:val="clear" w:color="B8CCE4" w:fill="B8CCE4"/>
                  <w:noWrap/>
                  <w:vAlign w:val="bottom"/>
                  <w:hideMark/>
                </w:tcPr>
                <w:p w:rsidR="00354213" w:rsidRPr="00354213" w:rsidRDefault="00354213" w:rsidP="005A0497">
                  <w:r w:rsidRPr="00354213">
                    <w:t>54</w:t>
                  </w:r>
                </w:p>
              </w:tc>
              <w:tc>
                <w:tcPr>
                  <w:tcW w:w="1170" w:type="dxa"/>
                  <w:tcBorders>
                    <w:top w:val="nil"/>
                    <w:left w:val="single" w:sz="4" w:space="0" w:color="auto"/>
                    <w:bottom w:val="single" w:sz="4" w:space="0" w:color="auto"/>
                    <w:right w:val="nil"/>
                  </w:tcBorders>
                  <w:shd w:val="clear" w:color="B8CCE4" w:fill="B8CCE4"/>
                  <w:noWrap/>
                  <w:vAlign w:val="bottom"/>
                  <w:hideMark/>
                </w:tcPr>
                <w:p w:rsidR="00354213" w:rsidRPr="00354213" w:rsidRDefault="00354213" w:rsidP="005A0497">
                  <w:r w:rsidRPr="00354213">
                    <w:t>36</w:t>
                  </w:r>
                </w:p>
              </w:tc>
              <w:tc>
                <w:tcPr>
                  <w:tcW w:w="25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354213" w:rsidRPr="00354213" w:rsidRDefault="00354213" w:rsidP="005A0497">
                  <w:r w:rsidRPr="00354213">
                    <w:t>20</w:t>
                  </w:r>
                </w:p>
              </w:tc>
            </w:tr>
            <w:tr w:rsidR="00354213" w:rsidRPr="00354213" w:rsidTr="00E01DFB">
              <w:trPr>
                <w:trHeight w:val="290"/>
              </w:trPr>
              <w:tc>
                <w:tcPr>
                  <w:tcW w:w="132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54213" w:rsidRPr="00354213" w:rsidRDefault="00354213" w:rsidP="005A0497">
                  <w:r w:rsidRPr="00354213">
                    <w:t>Story Co.</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54213" w:rsidRPr="00354213" w:rsidRDefault="00354213" w:rsidP="005A0497">
                  <w:r w:rsidRPr="00354213">
                    <w:t>138</w:t>
                  </w:r>
                </w:p>
              </w:tc>
              <w:tc>
                <w:tcPr>
                  <w:tcW w:w="10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54213" w:rsidRPr="00354213" w:rsidRDefault="00354213" w:rsidP="005A0497">
                  <w:r w:rsidRPr="00354213">
                    <w:t>71</w:t>
                  </w:r>
                </w:p>
              </w:tc>
              <w:tc>
                <w:tcPr>
                  <w:tcW w:w="11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54213" w:rsidRPr="00354213" w:rsidRDefault="00354213" w:rsidP="005A0497">
                  <w:r w:rsidRPr="00354213">
                    <w:t>66</w:t>
                  </w:r>
                </w:p>
              </w:tc>
              <w:tc>
                <w:tcPr>
                  <w:tcW w:w="12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54213" w:rsidRPr="00354213" w:rsidRDefault="00354213" w:rsidP="005A0497">
                  <w:r w:rsidRPr="00354213">
                    <w:t>85</w:t>
                  </w:r>
                </w:p>
              </w:tc>
              <w:tc>
                <w:tcPr>
                  <w:tcW w:w="1170" w:type="dxa"/>
                  <w:tcBorders>
                    <w:top w:val="single" w:sz="4" w:space="0" w:color="auto"/>
                    <w:left w:val="single" w:sz="4" w:space="0" w:color="auto"/>
                    <w:bottom w:val="single" w:sz="4" w:space="0" w:color="auto"/>
                    <w:right w:val="nil"/>
                  </w:tcBorders>
                  <w:shd w:val="clear" w:color="DBE5F1" w:fill="DBE5F1"/>
                  <w:noWrap/>
                  <w:vAlign w:val="bottom"/>
                  <w:hideMark/>
                </w:tcPr>
                <w:p w:rsidR="00354213" w:rsidRPr="00354213" w:rsidRDefault="00354213" w:rsidP="005A0497">
                  <w:r w:rsidRPr="00354213">
                    <w:t>105</w:t>
                  </w:r>
                </w:p>
              </w:tc>
              <w:tc>
                <w:tcPr>
                  <w:tcW w:w="25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354213" w:rsidRPr="00354213" w:rsidRDefault="00354213" w:rsidP="005A0497">
                  <w:r w:rsidRPr="00354213">
                    <w:t>60</w:t>
                  </w:r>
                </w:p>
              </w:tc>
            </w:tr>
          </w:tbl>
          <w:p w:rsidR="00031289" w:rsidRPr="00C75847" w:rsidRDefault="00031289" w:rsidP="005A0497"/>
        </w:tc>
      </w:tr>
      <w:tr w:rsidR="00354213" w:rsidRPr="00623C7D" w:rsidTr="00354213">
        <w:tc>
          <w:tcPr>
            <w:tcW w:w="10044" w:type="dxa"/>
            <w:gridSpan w:val="3"/>
          </w:tcPr>
          <w:p w:rsidR="00344897" w:rsidRDefault="00A8410F" w:rsidP="005A0497">
            <w:r w:rsidRPr="00A8410F">
              <w:rPr>
                <w:b/>
              </w:rPr>
              <w:t>Indicator analysis and discussion:</w:t>
            </w:r>
            <w:r>
              <w:t xml:space="preserve"> </w:t>
            </w:r>
            <w:r w:rsidR="00354213">
              <w:t>Abuse and neglect rates for Boone and Story County are fairly close to statewide rates. During the needs assessment participants found it difficult to make meaningful suggestions when reacting to child abuse rates. It was seen as too global an indicator to serve as a guide to make policy and programmatic</w:t>
            </w:r>
            <w:r w:rsidR="00C04B45">
              <w:t xml:space="preserve"> changes. </w:t>
            </w:r>
            <w:r w:rsidR="009F7BF8">
              <w:t xml:space="preserve">For example, the decline in abuse rates seen in 2014 were more likely the result of </w:t>
            </w:r>
            <w:r w:rsidR="00344897">
              <w:t xml:space="preserve">policy </w:t>
            </w:r>
            <w:r w:rsidR="009F7BF8">
              <w:t>changes in how</w:t>
            </w:r>
            <w:r w:rsidR="00344897">
              <w:t xml:space="preserve"> DHS handled abuse findings rather than an actual decline in the number of abuse cases. </w:t>
            </w:r>
          </w:p>
          <w:p w:rsidR="00354213" w:rsidRPr="00C75847" w:rsidRDefault="00C04B45" w:rsidP="005A0497">
            <w:r>
              <w:t xml:space="preserve">The BooSt </w:t>
            </w:r>
            <w:r w:rsidR="000F2F04">
              <w:t xml:space="preserve">ECI Area </w:t>
            </w:r>
            <w:r>
              <w:t>Board will</w:t>
            </w:r>
            <w:r w:rsidR="00354213">
              <w:t xml:space="preserve"> work with stakeholders and other ECI areas to identify an indicator that is more closely tied to the children </w:t>
            </w:r>
            <w:r w:rsidR="00753044">
              <w:t>served</w:t>
            </w:r>
            <w:r w:rsidR="00354213">
              <w:t xml:space="preserve"> by home visiting programs we fund.</w:t>
            </w:r>
          </w:p>
        </w:tc>
      </w:tr>
    </w:tbl>
    <w:p w:rsidR="003C2571" w:rsidRDefault="003C2571"/>
    <w:p w:rsidR="003C2571" w:rsidRDefault="003C2571">
      <w:pPr>
        <w:tabs>
          <w:tab w:val="clear" w:pos="900"/>
        </w:tabs>
        <w:spacing w:before="0" w:after="0"/>
      </w:pPr>
      <w:r>
        <w:br w:type="page"/>
      </w:r>
    </w:p>
    <w:p w:rsidR="0054178B" w:rsidRDefault="0054178B"/>
    <w:tbl>
      <w:tblPr>
        <w:tblW w:w="100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20"/>
        <w:gridCol w:w="3527"/>
        <w:gridCol w:w="3797"/>
      </w:tblGrid>
      <w:tr w:rsidR="009F7BF8" w:rsidRPr="00623C7D" w:rsidTr="009F7BF8">
        <w:tc>
          <w:tcPr>
            <w:tcW w:w="2831" w:type="dxa"/>
            <w:shd w:val="clear" w:color="auto" w:fill="DBE5F1" w:themeFill="accent1" w:themeFillTint="33"/>
          </w:tcPr>
          <w:p w:rsidR="009F7BF8" w:rsidRPr="00623C7D" w:rsidRDefault="009F7BF8" w:rsidP="009F7BF8">
            <w:r>
              <w:t>Results Area</w:t>
            </w:r>
          </w:p>
        </w:tc>
        <w:tc>
          <w:tcPr>
            <w:tcW w:w="3414" w:type="dxa"/>
            <w:shd w:val="clear" w:color="auto" w:fill="DBE5F1" w:themeFill="accent1" w:themeFillTint="33"/>
          </w:tcPr>
          <w:p w:rsidR="009F7BF8" w:rsidRPr="00623C7D" w:rsidRDefault="009F7BF8" w:rsidP="009F7BF8">
            <w:r w:rsidRPr="00623C7D">
              <w:t>Priority</w:t>
            </w:r>
          </w:p>
        </w:tc>
        <w:tc>
          <w:tcPr>
            <w:tcW w:w="3799" w:type="dxa"/>
            <w:shd w:val="clear" w:color="auto" w:fill="DBE5F1" w:themeFill="accent1" w:themeFillTint="33"/>
          </w:tcPr>
          <w:p w:rsidR="009F7BF8" w:rsidRPr="00623C7D" w:rsidRDefault="009F7BF8" w:rsidP="009F7BF8">
            <w:r w:rsidRPr="00623C7D">
              <w:t>Rationale for Identification or Deletion of Priority</w:t>
            </w:r>
          </w:p>
        </w:tc>
      </w:tr>
      <w:tr w:rsidR="00990A2B" w:rsidRPr="00623C7D" w:rsidTr="009F7BF8">
        <w:tc>
          <w:tcPr>
            <w:tcW w:w="2831" w:type="dxa"/>
            <w:shd w:val="clear" w:color="auto" w:fill="auto"/>
          </w:tcPr>
          <w:p w:rsidR="00990A2B" w:rsidRPr="00753044" w:rsidRDefault="00C75847" w:rsidP="005A0497">
            <w:r w:rsidRPr="00753044">
              <w:t>Healthy Children</w:t>
            </w:r>
          </w:p>
        </w:tc>
        <w:tc>
          <w:tcPr>
            <w:tcW w:w="3414" w:type="dxa"/>
            <w:shd w:val="clear" w:color="auto" w:fill="auto"/>
          </w:tcPr>
          <w:p w:rsidR="00990A2B" w:rsidRPr="0008719B" w:rsidRDefault="00C75847" w:rsidP="005A0497">
            <w:r w:rsidRPr="00C75847">
              <w:t xml:space="preserve">Enhance supports for the physical, emotional, and social developmental health of all children </w:t>
            </w:r>
          </w:p>
          <w:p w:rsidR="00990A2B" w:rsidRPr="0008719B" w:rsidRDefault="00990A2B" w:rsidP="005A0497"/>
        </w:tc>
        <w:tc>
          <w:tcPr>
            <w:tcW w:w="3799" w:type="dxa"/>
            <w:shd w:val="clear" w:color="auto" w:fill="auto"/>
          </w:tcPr>
          <w:p w:rsidR="00990A2B" w:rsidRPr="0008719B" w:rsidRDefault="00C75847" w:rsidP="005A0497">
            <w:r w:rsidRPr="00C75847">
              <w:t>The first five years of life are crucial for all young children, laying the developmental foundation for children’s lives.  The Board will work with community partners to support resources in the ECI Area that benefit child development issues and help all children be prepared to enter school ready to learn.</w:t>
            </w:r>
          </w:p>
        </w:tc>
      </w:tr>
      <w:tr w:rsidR="00753044" w:rsidRPr="00623C7D" w:rsidTr="00CA50DC">
        <w:tc>
          <w:tcPr>
            <w:tcW w:w="10044" w:type="dxa"/>
            <w:gridSpan w:val="3"/>
          </w:tcPr>
          <w:p w:rsidR="00753044" w:rsidRPr="00C75847" w:rsidRDefault="00B12699" w:rsidP="005A0497">
            <w:r w:rsidRPr="00B12699">
              <w:rPr>
                <w:noProof/>
              </w:rPr>
              <w:drawing>
                <wp:inline distT="0" distB="0" distL="0" distR="0">
                  <wp:extent cx="6203950" cy="1579880"/>
                  <wp:effectExtent l="19050" t="0" r="25400" b="127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753044" w:rsidRPr="00623C7D" w:rsidTr="00CA50DC">
        <w:tc>
          <w:tcPr>
            <w:tcW w:w="10044" w:type="dxa"/>
            <w:gridSpan w:val="3"/>
          </w:tcPr>
          <w:tbl>
            <w:tblPr>
              <w:tblW w:w="9787" w:type="dxa"/>
              <w:tblLook w:val="04A0"/>
            </w:tblPr>
            <w:tblGrid>
              <w:gridCol w:w="1220"/>
              <w:gridCol w:w="1080"/>
              <w:gridCol w:w="1100"/>
              <w:gridCol w:w="1160"/>
              <w:gridCol w:w="1357"/>
              <w:gridCol w:w="1080"/>
              <w:gridCol w:w="2790"/>
            </w:tblGrid>
            <w:tr w:rsidR="00B12699" w:rsidRPr="00B12699" w:rsidTr="00C17CBC">
              <w:trPr>
                <w:trHeight w:val="370"/>
              </w:trPr>
              <w:tc>
                <w:tcPr>
                  <w:tcW w:w="122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B12699" w:rsidRPr="00B12699" w:rsidRDefault="00B12699" w:rsidP="005A0497">
                  <w:r w:rsidRPr="00B12699">
                    <w:t>Year</w:t>
                  </w:r>
                </w:p>
              </w:tc>
              <w:tc>
                <w:tcPr>
                  <w:tcW w:w="108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B12699" w:rsidRPr="00B12699" w:rsidRDefault="00B12699" w:rsidP="005A0497">
                  <w:r w:rsidRPr="00B12699">
                    <w:t>2010</w:t>
                  </w:r>
                </w:p>
              </w:tc>
              <w:tc>
                <w:tcPr>
                  <w:tcW w:w="11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B12699" w:rsidRPr="00B12699" w:rsidRDefault="00B12699" w:rsidP="005A0497">
                  <w:r w:rsidRPr="00B12699">
                    <w:t>2013</w:t>
                  </w:r>
                </w:p>
              </w:tc>
              <w:tc>
                <w:tcPr>
                  <w:tcW w:w="11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B12699" w:rsidRPr="00B12699" w:rsidRDefault="00B12699" w:rsidP="005A0497">
                  <w:r w:rsidRPr="00B12699">
                    <w:t>2014</w:t>
                  </w:r>
                </w:p>
              </w:tc>
              <w:tc>
                <w:tcPr>
                  <w:tcW w:w="135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B12699" w:rsidRPr="00B12699" w:rsidRDefault="00B12699" w:rsidP="005A0497">
                  <w:r w:rsidRPr="00B12699">
                    <w:t>2015</w:t>
                  </w:r>
                </w:p>
              </w:tc>
              <w:tc>
                <w:tcPr>
                  <w:tcW w:w="1080" w:type="dxa"/>
                  <w:tcBorders>
                    <w:top w:val="single" w:sz="4" w:space="0" w:color="auto"/>
                    <w:left w:val="single" w:sz="4" w:space="0" w:color="auto"/>
                    <w:bottom w:val="single" w:sz="4" w:space="0" w:color="auto"/>
                    <w:right w:val="nil"/>
                  </w:tcBorders>
                  <w:shd w:val="clear" w:color="auto" w:fill="8DB3E2" w:themeFill="text2" w:themeFillTint="66"/>
                  <w:noWrap/>
                  <w:vAlign w:val="bottom"/>
                  <w:hideMark/>
                </w:tcPr>
                <w:p w:rsidR="00B12699" w:rsidRPr="00B12699" w:rsidRDefault="00B12699" w:rsidP="005A0497">
                  <w:r w:rsidRPr="00B12699">
                    <w:t>2016</w:t>
                  </w:r>
                </w:p>
              </w:tc>
              <w:tc>
                <w:tcPr>
                  <w:tcW w:w="279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B12699" w:rsidRPr="00B12699" w:rsidRDefault="00B12699" w:rsidP="005A0497">
                  <w:r w:rsidRPr="00B12699">
                    <w:t>2022 Goal</w:t>
                  </w:r>
                </w:p>
              </w:tc>
            </w:tr>
            <w:tr w:rsidR="00B12699" w:rsidRPr="00B12699" w:rsidTr="00B12699">
              <w:trPr>
                <w:trHeight w:val="360"/>
              </w:trPr>
              <w:tc>
                <w:tcPr>
                  <w:tcW w:w="12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B12699" w:rsidRPr="00B12699" w:rsidRDefault="00B12699" w:rsidP="005A0497">
                  <w:r w:rsidRPr="00B12699">
                    <w:t>Boone Co.</w:t>
                  </w:r>
                </w:p>
              </w:tc>
              <w:tc>
                <w:tcPr>
                  <w:tcW w:w="10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B12699" w:rsidRPr="00B12699" w:rsidRDefault="00B12699" w:rsidP="005A0497">
                  <w:r w:rsidRPr="00B12699">
                    <w:t>78%</w:t>
                  </w:r>
                </w:p>
              </w:tc>
              <w:tc>
                <w:tcPr>
                  <w:tcW w:w="110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B12699" w:rsidRPr="00B12699" w:rsidRDefault="00B12699" w:rsidP="005A0497">
                  <w:r w:rsidRPr="00B12699">
                    <w:t>79%</w:t>
                  </w:r>
                </w:p>
              </w:tc>
              <w:tc>
                <w:tcPr>
                  <w:tcW w:w="11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B12699" w:rsidRPr="00B12699" w:rsidRDefault="00B12699" w:rsidP="005A0497">
                  <w:r w:rsidRPr="00B12699">
                    <w:t>77%</w:t>
                  </w:r>
                </w:p>
              </w:tc>
              <w:tc>
                <w:tcPr>
                  <w:tcW w:w="135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B12699" w:rsidRPr="00B12699" w:rsidRDefault="00B12699" w:rsidP="005A0497">
                  <w:r w:rsidRPr="00B12699">
                    <w:t>77%</w:t>
                  </w:r>
                </w:p>
              </w:tc>
              <w:tc>
                <w:tcPr>
                  <w:tcW w:w="1080" w:type="dxa"/>
                  <w:tcBorders>
                    <w:top w:val="single" w:sz="4" w:space="0" w:color="auto"/>
                    <w:left w:val="single" w:sz="4" w:space="0" w:color="auto"/>
                    <w:bottom w:val="single" w:sz="4" w:space="0" w:color="auto"/>
                    <w:right w:val="nil"/>
                  </w:tcBorders>
                  <w:shd w:val="clear" w:color="B8CCE4" w:fill="B8CCE4"/>
                  <w:noWrap/>
                  <w:vAlign w:val="bottom"/>
                  <w:hideMark/>
                </w:tcPr>
                <w:p w:rsidR="00B12699" w:rsidRPr="00B12699" w:rsidRDefault="00B12699" w:rsidP="005A0497">
                  <w:r w:rsidRPr="00B12699">
                    <w:t>68%</w:t>
                  </w:r>
                </w:p>
              </w:tc>
              <w:tc>
                <w:tcPr>
                  <w:tcW w:w="279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B12699" w:rsidRPr="00B12699" w:rsidRDefault="00B12699" w:rsidP="005A0497">
                  <w:r w:rsidRPr="00B12699">
                    <w:t>95%</w:t>
                  </w:r>
                </w:p>
              </w:tc>
            </w:tr>
            <w:tr w:rsidR="00B12699" w:rsidRPr="00B12699" w:rsidTr="00B12699">
              <w:trPr>
                <w:trHeight w:val="370"/>
              </w:trPr>
              <w:tc>
                <w:tcPr>
                  <w:tcW w:w="122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B12699" w:rsidRPr="00B12699" w:rsidRDefault="00B12699" w:rsidP="005A0497">
                  <w:r w:rsidRPr="00B12699">
                    <w:t>Story Co.</w:t>
                  </w:r>
                </w:p>
              </w:tc>
              <w:tc>
                <w:tcPr>
                  <w:tcW w:w="108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B12699" w:rsidRPr="00B12699" w:rsidRDefault="00B12699" w:rsidP="005A0497">
                  <w:r w:rsidRPr="00B12699">
                    <w:t>81%</w:t>
                  </w:r>
                </w:p>
              </w:tc>
              <w:tc>
                <w:tcPr>
                  <w:tcW w:w="110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B12699" w:rsidRPr="00B12699" w:rsidRDefault="00B12699" w:rsidP="005A0497">
                  <w:r w:rsidRPr="00B12699">
                    <w:t>81%</w:t>
                  </w:r>
                </w:p>
              </w:tc>
              <w:tc>
                <w:tcPr>
                  <w:tcW w:w="116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B12699" w:rsidRPr="00B12699" w:rsidRDefault="00B12699" w:rsidP="005A0497">
                  <w:r w:rsidRPr="00B12699">
                    <w:t>75%</w:t>
                  </w:r>
                </w:p>
              </w:tc>
              <w:tc>
                <w:tcPr>
                  <w:tcW w:w="135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B12699" w:rsidRPr="00B12699" w:rsidRDefault="00B12699" w:rsidP="005A0497">
                  <w:r w:rsidRPr="00B12699">
                    <w:t>75%</w:t>
                  </w:r>
                </w:p>
              </w:tc>
              <w:tc>
                <w:tcPr>
                  <w:tcW w:w="1080" w:type="dxa"/>
                  <w:tcBorders>
                    <w:top w:val="single" w:sz="4" w:space="0" w:color="auto"/>
                    <w:left w:val="single" w:sz="4" w:space="0" w:color="auto"/>
                    <w:bottom w:val="single" w:sz="4" w:space="0" w:color="auto"/>
                    <w:right w:val="nil"/>
                  </w:tcBorders>
                  <w:shd w:val="clear" w:color="DBE5F1" w:fill="DBE5F1"/>
                  <w:noWrap/>
                  <w:vAlign w:val="bottom"/>
                  <w:hideMark/>
                </w:tcPr>
                <w:p w:rsidR="00B12699" w:rsidRPr="00B12699" w:rsidRDefault="00B12699" w:rsidP="005A0497">
                  <w:r w:rsidRPr="00B12699">
                    <w:t>77%</w:t>
                  </w:r>
                </w:p>
              </w:tc>
              <w:tc>
                <w:tcPr>
                  <w:tcW w:w="279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B12699" w:rsidRPr="00B12699" w:rsidRDefault="00B12699" w:rsidP="005A0497">
                  <w:r w:rsidRPr="00B12699">
                    <w:t>95%</w:t>
                  </w:r>
                </w:p>
              </w:tc>
            </w:tr>
          </w:tbl>
          <w:p w:rsidR="00753044" w:rsidRPr="00C75847" w:rsidRDefault="00753044" w:rsidP="005A0497"/>
        </w:tc>
      </w:tr>
      <w:tr w:rsidR="00753044" w:rsidRPr="00623C7D" w:rsidTr="00CA50DC">
        <w:tc>
          <w:tcPr>
            <w:tcW w:w="10044" w:type="dxa"/>
            <w:gridSpan w:val="3"/>
          </w:tcPr>
          <w:p w:rsidR="00CA50DC" w:rsidRPr="00C75847" w:rsidRDefault="00A8410F" w:rsidP="00777903">
            <w:r w:rsidRPr="00A8410F">
              <w:rPr>
                <w:b/>
              </w:rPr>
              <w:t>Indicator analysis and discussion:</w:t>
            </w:r>
            <w:r>
              <w:t xml:space="preserve"> </w:t>
            </w:r>
            <w:r w:rsidR="00B12699">
              <w:t>There is a lot of misinformation on the internet about vaccinations leading some parents to not have their children immunized. This is problematic locally where people travel to ISU from all over the world. There has been a long gradual decline in immunization rates and IDPH has seen an increase in measles cases</w:t>
            </w:r>
            <w:r w:rsidR="00161062">
              <w:t xml:space="preserve"> in Iowa</w:t>
            </w:r>
            <w:r w:rsidR="00B12699">
              <w:t>. Because childcare settings bring children together they need to be</w:t>
            </w:r>
            <w:r w:rsidR="00191026">
              <w:t xml:space="preserve"> </w:t>
            </w:r>
            <w:r w:rsidR="00CA50DC">
              <w:t>especially vigilant about making sure that the children they enroll are fully immunized.</w:t>
            </w:r>
          </w:p>
        </w:tc>
      </w:tr>
    </w:tbl>
    <w:p w:rsidR="003C2571" w:rsidRDefault="003C2571"/>
    <w:p w:rsidR="003C2571" w:rsidRDefault="003C2571">
      <w:pPr>
        <w:tabs>
          <w:tab w:val="clear" w:pos="900"/>
        </w:tabs>
        <w:spacing w:before="0" w:after="0"/>
      </w:pPr>
      <w:r>
        <w:br w:type="page"/>
      </w:r>
    </w:p>
    <w:p w:rsidR="003C2571" w:rsidRDefault="003C2571"/>
    <w:tbl>
      <w:tblPr>
        <w:tblW w:w="100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38"/>
        <w:gridCol w:w="3139"/>
        <w:gridCol w:w="3667"/>
      </w:tblGrid>
      <w:tr w:rsidR="009F7BF8" w:rsidRPr="00623C7D" w:rsidTr="009F7BF8">
        <w:tc>
          <w:tcPr>
            <w:tcW w:w="3131" w:type="dxa"/>
            <w:shd w:val="clear" w:color="auto" w:fill="DBE5F1" w:themeFill="accent1" w:themeFillTint="33"/>
          </w:tcPr>
          <w:p w:rsidR="009F7BF8" w:rsidRPr="00623C7D" w:rsidRDefault="009F7BF8" w:rsidP="009F7BF8">
            <w:r>
              <w:t>Results Area</w:t>
            </w:r>
          </w:p>
        </w:tc>
        <w:tc>
          <w:tcPr>
            <w:tcW w:w="3191" w:type="dxa"/>
            <w:shd w:val="clear" w:color="auto" w:fill="DBE5F1" w:themeFill="accent1" w:themeFillTint="33"/>
          </w:tcPr>
          <w:p w:rsidR="009F7BF8" w:rsidRPr="00623C7D" w:rsidRDefault="009F7BF8" w:rsidP="009F7BF8">
            <w:r w:rsidRPr="00623C7D">
              <w:t>Priority</w:t>
            </w:r>
          </w:p>
        </w:tc>
        <w:tc>
          <w:tcPr>
            <w:tcW w:w="3722" w:type="dxa"/>
            <w:shd w:val="clear" w:color="auto" w:fill="DBE5F1" w:themeFill="accent1" w:themeFillTint="33"/>
          </w:tcPr>
          <w:p w:rsidR="009F7BF8" w:rsidRPr="00623C7D" w:rsidRDefault="009F7BF8" w:rsidP="009F7BF8">
            <w:r w:rsidRPr="00623C7D">
              <w:t>Rationale for Identification or Deletion of Priority</w:t>
            </w:r>
          </w:p>
        </w:tc>
      </w:tr>
      <w:tr w:rsidR="00990A2B" w:rsidRPr="00623C7D" w:rsidTr="009F7BF8">
        <w:tc>
          <w:tcPr>
            <w:tcW w:w="3131" w:type="dxa"/>
            <w:shd w:val="clear" w:color="auto" w:fill="auto"/>
          </w:tcPr>
          <w:p w:rsidR="00990A2B" w:rsidRPr="0008719B" w:rsidRDefault="00C75847" w:rsidP="005A0497">
            <w:r w:rsidRPr="00C75847">
              <w:t>Secure and Supportive Communities</w:t>
            </w:r>
          </w:p>
        </w:tc>
        <w:tc>
          <w:tcPr>
            <w:tcW w:w="3191" w:type="dxa"/>
            <w:shd w:val="clear" w:color="auto" w:fill="auto"/>
          </w:tcPr>
          <w:p w:rsidR="004E6C93" w:rsidRDefault="00C75847" w:rsidP="005A0497">
            <w:r w:rsidRPr="00C75847">
              <w:t>Engage and collaborate with diverse community partners to strengthen the Early Childhood system</w:t>
            </w:r>
          </w:p>
        </w:tc>
        <w:tc>
          <w:tcPr>
            <w:tcW w:w="3722" w:type="dxa"/>
            <w:shd w:val="clear" w:color="auto" w:fill="auto"/>
          </w:tcPr>
          <w:p w:rsidR="00990A2B" w:rsidRPr="0008719B" w:rsidRDefault="00C75847" w:rsidP="00AA596E">
            <w:r w:rsidRPr="00C75847">
              <w:t xml:space="preserve">Collaboration with community partners is necessary to enhance and expand the early childhood system.  The Board will build support for early childhood issues through community </w:t>
            </w:r>
            <w:r w:rsidR="00AA596E">
              <w:t>outreach</w:t>
            </w:r>
            <w:r w:rsidRPr="00C75847">
              <w:t xml:space="preserve">.  </w:t>
            </w:r>
          </w:p>
        </w:tc>
      </w:tr>
      <w:tr w:rsidR="00CA50DC" w:rsidRPr="00623C7D" w:rsidTr="00CA50DC">
        <w:tc>
          <w:tcPr>
            <w:tcW w:w="10044" w:type="dxa"/>
            <w:gridSpan w:val="3"/>
          </w:tcPr>
          <w:p w:rsidR="00CA50DC" w:rsidRPr="00C75847" w:rsidRDefault="00CA50DC" w:rsidP="005A0497">
            <w:r w:rsidRPr="00CA50DC">
              <w:rPr>
                <w:noProof/>
              </w:rPr>
              <w:drawing>
                <wp:inline distT="0" distB="0" distL="0" distR="0">
                  <wp:extent cx="6203950" cy="1816100"/>
                  <wp:effectExtent l="19050" t="0" r="2540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CA50DC" w:rsidRPr="00623C7D" w:rsidTr="00CA50DC">
        <w:tc>
          <w:tcPr>
            <w:tcW w:w="10044" w:type="dxa"/>
            <w:gridSpan w:val="3"/>
          </w:tcPr>
          <w:tbl>
            <w:tblPr>
              <w:tblW w:w="9818" w:type="dxa"/>
              <w:tblLook w:val="04A0"/>
            </w:tblPr>
            <w:tblGrid>
              <w:gridCol w:w="1417"/>
              <w:gridCol w:w="870"/>
              <w:gridCol w:w="1094"/>
              <w:gridCol w:w="1153"/>
              <w:gridCol w:w="1094"/>
              <w:gridCol w:w="1150"/>
              <w:gridCol w:w="3040"/>
            </w:tblGrid>
            <w:tr w:rsidR="00CA50DC" w:rsidRPr="00CA50DC" w:rsidTr="00161062">
              <w:trPr>
                <w:trHeight w:val="290"/>
              </w:trPr>
              <w:tc>
                <w:tcPr>
                  <w:tcW w:w="141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A50DC" w:rsidRPr="00CA50DC" w:rsidRDefault="00CA50DC" w:rsidP="005A0497">
                  <w:r w:rsidRPr="00CA50DC">
                    <w:t>Year</w:t>
                  </w:r>
                </w:p>
              </w:tc>
              <w:tc>
                <w:tcPr>
                  <w:tcW w:w="87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A50DC" w:rsidRPr="00CA50DC" w:rsidRDefault="00CA50DC" w:rsidP="005A0497">
                  <w:r w:rsidRPr="00CA50DC">
                    <w:t>2000</w:t>
                  </w:r>
                </w:p>
              </w:tc>
              <w:tc>
                <w:tcPr>
                  <w:tcW w:w="1094"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A50DC" w:rsidRPr="00CA50DC" w:rsidRDefault="00CA50DC" w:rsidP="005A0497">
                  <w:r w:rsidRPr="00CA50DC">
                    <w:t>2013</w:t>
                  </w:r>
                </w:p>
              </w:tc>
              <w:tc>
                <w:tcPr>
                  <w:tcW w:w="115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A50DC" w:rsidRPr="00CA50DC" w:rsidRDefault="00CA50DC" w:rsidP="005A0497">
                  <w:r w:rsidRPr="00CA50DC">
                    <w:t>2014</w:t>
                  </w:r>
                </w:p>
              </w:tc>
              <w:tc>
                <w:tcPr>
                  <w:tcW w:w="1094"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A50DC" w:rsidRPr="00CA50DC" w:rsidRDefault="00CA50DC" w:rsidP="005A0497">
                  <w:r w:rsidRPr="00CA50DC">
                    <w:t>2015</w:t>
                  </w:r>
                </w:p>
              </w:tc>
              <w:tc>
                <w:tcPr>
                  <w:tcW w:w="115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A50DC" w:rsidRPr="00CA50DC" w:rsidRDefault="00CA50DC" w:rsidP="005A0497">
                  <w:r w:rsidRPr="00CA50DC">
                    <w:t>2016</w:t>
                  </w:r>
                </w:p>
              </w:tc>
              <w:tc>
                <w:tcPr>
                  <w:tcW w:w="304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A50DC" w:rsidRPr="00CA50DC" w:rsidRDefault="00CA50DC" w:rsidP="005A0497">
                  <w:r w:rsidRPr="00CA50DC">
                    <w:t>202</w:t>
                  </w:r>
                  <w:r w:rsidR="00900698">
                    <w:t>2</w:t>
                  </w:r>
                  <w:r w:rsidRPr="00CA50DC">
                    <w:t xml:space="preserve">  Goal</w:t>
                  </w:r>
                </w:p>
              </w:tc>
            </w:tr>
            <w:tr w:rsidR="00CA50DC" w:rsidRPr="00CA50DC" w:rsidTr="00161062">
              <w:trPr>
                <w:trHeight w:val="310"/>
              </w:trPr>
              <w:tc>
                <w:tcPr>
                  <w:tcW w:w="1417"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CA50DC" w:rsidRPr="00CA50DC" w:rsidRDefault="00CA50DC" w:rsidP="005A0497">
                  <w:r w:rsidRPr="00CA50DC">
                    <w:t>Boone Co.</w:t>
                  </w:r>
                </w:p>
              </w:tc>
              <w:tc>
                <w:tcPr>
                  <w:tcW w:w="87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CA50DC" w:rsidRPr="00CA50DC" w:rsidRDefault="00CA50DC" w:rsidP="005A0497">
                  <w:r w:rsidRPr="00CA50DC">
                    <w:t>11.6%</w:t>
                  </w:r>
                </w:p>
              </w:tc>
              <w:tc>
                <w:tcPr>
                  <w:tcW w:w="1094"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CA50DC" w:rsidRPr="00CA50DC" w:rsidRDefault="00CA50DC" w:rsidP="005A0497">
                  <w:r w:rsidRPr="00CA50DC">
                    <w:t>14.3%</w:t>
                  </w:r>
                </w:p>
              </w:tc>
              <w:tc>
                <w:tcPr>
                  <w:tcW w:w="1153"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CA50DC" w:rsidRPr="00CA50DC" w:rsidRDefault="00CA50DC" w:rsidP="005A0497">
                  <w:r w:rsidRPr="00CA50DC">
                    <w:t>12.2%</w:t>
                  </w:r>
                </w:p>
              </w:tc>
              <w:tc>
                <w:tcPr>
                  <w:tcW w:w="1094"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CA50DC" w:rsidRPr="00CA50DC" w:rsidRDefault="00CA50DC" w:rsidP="005A0497">
                  <w:r w:rsidRPr="00CA50DC">
                    <w:t>11.4%</w:t>
                  </w:r>
                </w:p>
              </w:tc>
              <w:tc>
                <w:tcPr>
                  <w:tcW w:w="115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CA50DC" w:rsidRPr="00CA50DC" w:rsidRDefault="00677B47" w:rsidP="005A0497">
                  <w:r>
                    <w:t>10.1</w:t>
                  </w:r>
                  <w:r w:rsidR="00CA50DC" w:rsidRPr="00CA50DC">
                    <w:t>%</w:t>
                  </w:r>
                </w:p>
              </w:tc>
              <w:tc>
                <w:tcPr>
                  <w:tcW w:w="304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CA50DC" w:rsidRPr="00CA50DC" w:rsidRDefault="00CA50DC" w:rsidP="005A0497">
                  <w:r w:rsidRPr="00CA50DC">
                    <w:t>7.0%</w:t>
                  </w:r>
                </w:p>
              </w:tc>
            </w:tr>
            <w:tr w:rsidR="00CA50DC" w:rsidRPr="00CA50DC" w:rsidTr="00161062">
              <w:trPr>
                <w:trHeight w:val="310"/>
              </w:trPr>
              <w:tc>
                <w:tcPr>
                  <w:tcW w:w="1417"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CA50DC" w:rsidRPr="00CA50DC" w:rsidRDefault="00CA50DC" w:rsidP="005A0497">
                  <w:r w:rsidRPr="00CA50DC">
                    <w:t>Story Co.</w:t>
                  </w:r>
                </w:p>
              </w:tc>
              <w:tc>
                <w:tcPr>
                  <w:tcW w:w="87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CA50DC" w:rsidRPr="00CA50DC" w:rsidRDefault="00CA50DC" w:rsidP="005A0497">
                  <w:r w:rsidRPr="00CA50DC">
                    <w:t>11.5%</w:t>
                  </w:r>
                </w:p>
              </w:tc>
              <w:tc>
                <w:tcPr>
                  <w:tcW w:w="10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CA50DC" w:rsidRPr="00CA50DC" w:rsidRDefault="00CA50DC" w:rsidP="005A0497">
                  <w:r w:rsidRPr="00CA50DC">
                    <w:t>18.0%</w:t>
                  </w:r>
                </w:p>
              </w:tc>
              <w:tc>
                <w:tcPr>
                  <w:tcW w:w="1153"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CA50DC" w:rsidRPr="00CA50DC" w:rsidRDefault="00CA50DC" w:rsidP="005A0497">
                  <w:r w:rsidRPr="00CA50DC">
                    <w:t>12.1%</w:t>
                  </w:r>
                </w:p>
              </w:tc>
              <w:tc>
                <w:tcPr>
                  <w:tcW w:w="1094"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CA50DC" w:rsidRPr="00CA50DC" w:rsidRDefault="00CA50DC" w:rsidP="005A0497">
                  <w:r w:rsidRPr="00CA50DC">
                    <w:t>12.2%</w:t>
                  </w:r>
                </w:p>
              </w:tc>
              <w:tc>
                <w:tcPr>
                  <w:tcW w:w="115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CA50DC" w:rsidRPr="00CA50DC" w:rsidRDefault="00677B47" w:rsidP="005A0497">
                  <w:r>
                    <w:t>11.3</w:t>
                  </w:r>
                  <w:r w:rsidR="00CA50DC" w:rsidRPr="00CA50DC">
                    <w:t>%</w:t>
                  </w:r>
                </w:p>
              </w:tc>
              <w:tc>
                <w:tcPr>
                  <w:tcW w:w="3040"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CA50DC" w:rsidRPr="00CA50DC" w:rsidRDefault="00CA50DC" w:rsidP="005A0497">
                  <w:r w:rsidRPr="00CA50DC">
                    <w:t>7.0%</w:t>
                  </w:r>
                </w:p>
              </w:tc>
            </w:tr>
          </w:tbl>
          <w:p w:rsidR="00CA50DC" w:rsidRPr="00C75847" w:rsidRDefault="00CA50DC" w:rsidP="005A0497"/>
        </w:tc>
      </w:tr>
      <w:tr w:rsidR="00CA50DC" w:rsidRPr="00623C7D" w:rsidTr="00CA50DC">
        <w:tc>
          <w:tcPr>
            <w:tcW w:w="10044" w:type="dxa"/>
            <w:gridSpan w:val="3"/>
          </w:tcPr>
          <w:p w:rsidR="00CA50DC" w:rsidRDefault="00A8410F" w:rsidP="005A0497">
            <w:r w:rsidRPr="00A8410F">
              <w:rPr>
                <w:b/>
              </w:rPr>
              <w:t>Indicator analysis and discussion:</w:t>
            </w:r>
            <w:r>
              <w:t xml:space="preserve"> </w:t>
            </w:r>
            <w:r w:rsidR="00677B47">
              <w:t xml:space="preserve">Iowa along, with the entire country, has seen general economic conditions improve. However, much like the earlier discussion regarding child abuse, participants found it difficult to recommend policy and </w:t>
            </w:r>
            <w:r w:rsidR="002D659B">
              <w:t>programmatic</w:t>
            </w:r>
            <w:r w:rsidR="00677B47">
              <w:t xml:space="preserve"> changes</w:t>
            </w:r>
            <w:r w:rsidR="00C04B45">
              <w:t xml:space="preserve"> based on su</w:t>
            </w:r>
            <w:r w:rsidR="00AA596E">
              <w:t>ch a broad indicator as poverty</w:t>
            </w:r>
            <w:r w:rsidR="00C04B45">
              <w:t>. A more useful indicator may</w:t>
            </w:r>
            <w:r w:rsidR="009B2249">
              <w:t xml:space="preserve"> </w:t>
            </w:r>
            <w:r w:rsidR="002D659B">
              <w:t>be</w:t>
            </w:r>
            <w:r w:rsidR="00C04B45">
              <w:t xml:space="preserve"> </w:t>
            </w:r>
            <w:r w:rsidR="00AA596E">
              <w:t>to look at</w:t>
            </w:r>
            <w:r w:rsidR="00C04B45">
              <w:t xml:space="preserve"> access </w:t>
            </w:r>
            <w:r w:rsidR="002431F3">
              <w:t>to high quality care by</w:t>
            </w:r>
            <w:r w:rsidR="00C04B45">
              <w:t xml:space="preserve"> children from low income families. </w:t>
            </w:r>
            <w:r w:rsidR="002D659B">
              <w:t xml:space="preserve">There </w:t>
            </w:r>
            <w:r w:rsidR="002431F3">
              <w:t xml:space="preserve">also </w:t>
            </w:r>
            <w:r w:rsidR="002D659B">
              <w:t>may be merit in</w:t>
            </w:r>
            <w:r w:rsidR="00C04B45">
              <w:t xml:space="preserve"> identifying low income areas and target</w:t>
            </w:r>
            <w:r w:rsidR="002D659B">
              <w:t>ing</w:t>
            </w:r>
            <w:r w:rsidR="002431F3">
              <w:t xml:space="preserve"> support to providers in those</w:t>
            </w:r>
            <w:r w:rsidR="00C04B45">
              <w:t xml:space="preserve"> area</w:t>
            </w:r>
            <w:r w:rsidR="002431F3">
              <w:t>s</w:t>
            </w:r>
            <w:r w:rsidR="00C04B45">
              <w:t>.</w:t>
            </w:r>
            <w:r w:rsidR="002D659B">
              <w:t xml:space="preserve"> </w:t>
            </w:r>
          </w:p>
          <w:p w:rsidR="005313EF" w:rsidRPr="00CA50DC" w:rsidRDefault="005313EF" w:rsidP="005A0497"/>
        </w:tc>
      </w:tr>
    </w:tbl>
    <w:p w:rsidR="003C2571" w:rsidRDefault="003C2571" w:rsidP="005A0497"/>
    <w:p w:rsidR="003C2571" w:rsidRDefault="003C2571">
      <w:pPr>
        <w:tabs>
          <w:tab w:val="clear" w:pos="900"/>
        </w:tabs>
        <w:spacing w:before="0" w:after="0"/>
      </w:pPr>
      <w:r>
        <w:br w:type="page"/>
      </w:r>
    </w:p>
    <w:p w:rsidR="004F578D" w:rsidRPr="000A63BB" w:rsidRDefault="004F578D" w:rsidP="003C2571">
      <w:pPr>
        <w:ind w:left="-90"/>
        <w:rPr>
          <w:b/>
        </w:rPr>
      </w:pPr>
      <w:r w:rsidRPr="000A63BB">
        <w:rPr>
          <w:b/>
        </w:rPr>
        <w:t>Community-wide Indicators of the ECI Area Board</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78"/>
        <w:gridCol w:w="7020"/>
      </w:tblGrid>
      <w:tr w:rsidR="004F578D" w:rsidRPr="00623C7D" w:rsidTr="004F578D">
        <w:tc>
          <w:tcPr>
            <w:tcW w:w="3078" w:type="dxa"/>
            <w:shd w:val="clear" w:color="auto" w:fill="DBE5F1"/>
          </w:tcPr>
          <w:p w:rsidR="004F578D" w:rsidRPr="00623C7D" w:rsidRDefault="004F578D" w:rsidP="005A0497">
            <w:r w:rsidRPr="00623C7D">
              <w:t>Indicator</w:t>
            </w:r>
          </w:p>
        </w:tc>
        <w:tc>
          <w:tcPr>
            <w:tcW w:w="7020" w:type="dxa"/>
            <w:shd w:val="clear" w:color="auto" w:fill="DBE5F1"/>
          </w:tcPr>
          <w:p w:rsidR="004F578D" w:rsidRPr="00623C7D" w:rsidRDefault="004F578D" w:rsidP="005A0497">
            <w:r w:rsidRPr="00623C7D">
              <w:t>Rationale for Selection of Indicator</w:t>
            </w:r>
          </w:p>
        </w:tc>
      </w:tr>
      <w:tr w:rsidR="004F578D" w:rsidRPr="00623C7D" w:rsidTr="004F578D">
        <w:trPr>
          <w:trHeight w:val="350"/>
        </w:trPr>
        <w:tc>
          <w:tcPr>
            <w:tcW w:w="3078" w:type="dxa"/>
          </w:tcPr>
          <w:p w:rsidR="004F578D" w:rsidRPr="003C2571" w:rsidRDefault="004F578D" w:rsidP="005A0497">
            <w:r w:rsidRPr="003C2571">
              <w:t>Immunized Children (Rate of children immunized up to date by 24 months)</w:t>
            </w:r>
          </w:p>
        </w:tc>
        <w:tc>
          <w:tcPr>
            <w:tcW w:w="7020" w:type="dxa"/>
          </w:tcPr>
          <w:p w:rsidR="004F578D" w:rsidRPr="003C2571" w:rsidRDefault="004F578D" w:rsidP="002D659B">
            <w:pPr>
              <w:rPr>
                <w:i/>
              </w:rPr>
            </w:pPr>
            <w:r w:rsidRPr="003C2571">
              <w:t>Twenty-four month childhood immunization rate was selected as an indicator</w:t>
            </w:r>
            <w:r w:rsidR="002D659B">
              <w:t xml:space="preserve"> to</w:t>
            </w:r>
            <w:r w:rsidRPr="003C2571">
              <w:t xml:space="preserve"> track due to the need to maintain safe child care environments.  </w:t>
            </w:r>
          </w:p>
        </w:tc>
      </w:tr>
      <w:tr w:rsidR="004F578D" w:rsidRPr="00623C7D" w:rsidTr="004F578D">
        <w:trPr>
          <w:trHeight w:val="350"/>
        </w:trPr>
        <w:tc>
          <w:tcPr>
            <w:tcW w:w="3078" w:type="dxa"/>
          </w:tcPr>
          <w:p w:rsidR="004F578D" w:rsidRPr="003C2571" w:rsidRDefault="004F578D" w:rsidP="004F578D">
            <w:pPr>
              <w:pStyle w:val="Default"/>
              <w:rPr>
                <w:rFonts w:ascii="Times New Roman" w:hAnsi="Times New Roman" w:cs="Times New Roman"/>
                <w:b/>
                <w:bCs/>
              </w:rPr>
            </w:pPr>
            <w:r w:rsidRPr="003C2571">
              <w:rPr>
                <w:rFonts w:ascii="Times New Roman" w:hAnsi="Times New Roman" w:cs="Times New Roman"/>
              </w:rPr>
              <w:t>Pre-literacy Skills (No. and percent children meeting expectations as measured by developmental assessments)</w:t>
            </w:r>
          </w:p>
        </w:tc>
        <w:tc>
          <w:tcPr>
            <w:tcW w:w="7020" w:type="dxa"/>
          </w:tcPr>
          <w:p w:rsidR="004F578D" w:rsidRPr="003C2571" w:rsidRDefault="004F578D" w:rsidP="005A0497">
            <w:r w:rsidRPr="003C2571">
              <w:t>PreK literacy assessment data was selected due to the high correlation between reading ability and school success.  (Examples of assessment tools include Gold, IGDI, and FAST).Track third grade reading scores by school district to see how it correlates to the kindergarten FAST.</w:t>
            </w:r>
          </w:p>
        </w:tc>
      </w:tr>
      <w:tr w:rsidR="004F578D" w:rsidRPr="00623C7D" w:rsidTr="004F578D">
        <w:trPr>
          <w:trHeight w:val="350"/>
        </w:trPr>
        <w:tc>
          <w:tcPr>
            <w:tcW w:w="3078" w:type="dxa"/>
          </w:tcPr>
          <w:p w:rsidR="004F578D" w:rsidRPr="003C2571" w:rsidRDefault="004F578D" w:rsidP="005A0497">
            <w:r w:rsidRPr="003C2571">
              <w:t>Affordable Quality Early Learning Environments</w:t>
            </w:r>
          </w:p>
        </w:tc>
        <w:tc>
          <w:tcPr>
            <w:tcW w:w="7020" w:type="dxa"/>
          </w:tcPr>
          <w:p w:rsidR="004F578D" w:rsidRPr="003C2571" w:rsidRDefault="004F578D" w:rsidP="005A0497">
            <w:pPr>
              <w:rPr>
                <w:i/>
              </w:rPr>
            </w:pPr>
            <w:r w:rsidRPr="003C2571">
              <w:t xml:space="preserve">The number of independently evaluated centers, preschools and development homes was selected because studies show that the quality of care is an important variable regarding the lasting impact of early care and education.  </w:t>
            </w:r>
            <w:r w:rsidR="002D659B">
              <w:t>T</w:t>
            </w:r>
            <w:r w:rsidRPr="003C2571">
              <w:t>he number of C</w:t>
            </w:r>
            <w:r w:rsidR="00F004D1">
              <w:t xml:space="preserve">hild </w:t>
            </w:r>
            <w:r w:rsidRPr="003C2571">
              <w:t>C</w:t>
            </w:r>
            <w:r w:rsidR="00F004D1">
              <w:t xml:space="preserve">are </w:t>
            </w:r>
            <w:r w:rsidRPr="003C2571">
              <w:t>A</w:t>
            </w:r>
            <w:r w:rsidR="00F004D1">
              <w:t>ssistance</w:t>
            </w:r>
            <w:r w:rsidRPr="003C2571">
              <w:t xml:space="preserve"> recipients in quality care</w:t>
            </w:r>
            <w:r w:rsidR="002D659B">
              <w:t xml:space="preserve"> will also be tracked</w:t>
            </w:r>
            <w:r w:rsidRPr="003C2571">
              <w:t>.</w:t>
            </w:r>
          </w:p>
        </w:tc>
      </w:tr>
      <w:tr w:rsidR="004F578D" w:rsidRPr="00623C7D" w:rsidTr="004F578D">
        <w:trPr>
          <w:trHeight w:val="350"/>
        </w:trPr>
        <w:tc>
          <w:tcPr>
            <w:tcW w:w="3078" w:type="dxa"/>
          </w:tcPr>
          <w:p w:rsidR="004F578D" w:rsidRPr="003C2571" w:rsidRDefault="004F578D" w:rsidP="005A0497">
            <w:pPr>
              <w:rPr>
                <w:highlight w:val="yellow"/>
              </w:rPr>
            </w:pPr>
            <w:r w:rsidRPr="003C2571">
              <w:t>Child Abuse (Rate of child abuse for children 0 to 5)</w:t>
            </w:r>
          </w:p>
        </w:tc>
        <w:tc>
          <w:tcPr>
            <w:tcW w:w="7020" w:type="dxa"/>
          </w:tcPr>
          <w:p w:rsidR="004F578D" w:rsidRPr="003C2571" w:rsidRDefault="004F578D" w:rsidP="005A0497">
            <w:pPr>
              <w:rPr>
                <w:i/>
              </w:rPr>
            </w:pPr>
            <w:r w:rsidRPr="003C2571">
              <w:t xml:space="preserve">The BooSt Board will work to identify a different measure that is more closely tied to family support services funded by BooSt.  </w:t>
            </w:r>
          </w:p>
        </w:tc>
      </w:tr>
      <w:tr w:rsidR="004F578D" w:rsidRPr="00623C7D" w:rsidTr="004F578D">
        <w:trPr>
          <w:trHeight w:val="350"/>
        </w:trPr>
        <w:tc>
          <w:tcPr>
            <w:tcW w:w="3078" w:type="dxa"/>
          </w:tcPr>
          <w:p w:rsidR="004F578D" w:rsidRPr="003C2571" w:rsidRDefault="004F578D" w:rsidP="005A0497">
            <w:r w:rsidRPr="003C2571">
              <w:t>Children in Poverty (Percent of children 0 to 5 who live below the poverty level)</w:t>
            </w:r>
          </w:p>
        </w:tc>
        <w:tc>
          <w:tcPr>
            <w:tcW w:w="7020" w:type="dxa"/>
          </w:tcPr>
          <w:p w:rsidR="004F578D" w:rsidRPr="003C2571" w:rsidRDefault="004F578D" w:rsidP="002D659B">
            <w:pPr>
              <w:rPr>
                <w:i/>
              </w:rPr>
            </w:pPr>
            <w:r w:rsidRPr="003C2571">
              <w:t>Children in poverty will continue to be followed as a global indicator but a different indicator</w:t>
            </w:r>
            <w:r w:rsidR="002D659B">
              <w:t xml:space="preserve"> will be identified</w:t>
            </w:r>
            <w:r w:rsidRPr="003C2571">
              <w:t xml:space="preserve"> that is more closely linked to outcomes for children and families served by BooSt funded programs. </w:t>
            </w:r>
          </w:p>
        </w:tc>
      </w:tr>
    </w:tbl>
    <w:p w:rsidR="00990A2B" w:rsidRPr="00A8410F" w:rsidRDefault="00990A2B" w:rsidP="005A0497">
      <w:pPr>
        <w:rPr>
          <w:b/>
        </w:rPr>
      </w:pPr>
      <w:r w:rsidRPr="00A8410F">
        <w:rPr>
          <w:b/>
        </w:rPr>
        <w:t>Strategies of the ECI Area Board</w:t>
      </w:r>
    </w:p>
    <w:tbl>
      <w:tblPr>
        <w:tblStyle w:val="TableGrid"/>
        <w:tblW w:w="0" w:type="auto"/>
        <w:tblLook w:val="04A0"/>
      </w:tblPr>
      <w:tblGrid>
        <w:gridCol w:w="3078"/>
        <w:gridCol w:w="7020"/>
      </w:tblGrid>
      <w:tr w:rsidR="00990A2B" w:rsidTr="0008719B">
        <w:tc>
          <w:tcPr>
            <w:tcW w:w="3078" w:type="dxa"/>
          </w:tcPr>
          <w:p w:rsidR="00990A2B" w:rsidRPr="00985EAB" w:rsidRDefault="00C75847" w:rsidP="005A0497">
            <w:r w:rsidRPr="00C75847">
              <w:rPr>
                <w:b/>
              </w:rPr>
              <w:t xml:space="preserve">Children Ready to Succeed: </w:t>
            </w:r>
            <w:r w:rsidRPr="00C75847">
              <w:t xml:space="preserve">All children have access to quality early learning </w:t>
            </w:r>
            <w:r w:rsidR="00B83CF4">
              <w:t>opportunities</w:t>
            </w:r>
          </w:p>
        </w:tc>
        <w:tc>
          <w:tcPr>
            <w:tcW w:w="7020" w:type="dxa"/>
          </w:tcPr>
          <w:p w:rsidR="00DC5FBB" w:rsidRDefault="003C5B95" w:rsidP="002431F3">
            <w:pPr>
              <w:pStyle w:val="ListParagraph"/>
              <w:numPr>
                <w:ilvl w:val="0"/>
                <w:numId w:val="40"/>
              </w:numPr>
              <w:ind w:left="702"/>
            </w:pPr>
            <w:r>
              <w:t>S</w:t>
            </w:r>
            <w:r w:rsidRPr="00DC5FBB">
              <w:t xml:space="preserve">upport </w:t>
            </w:r>
            <w:r>
              <w:t>a</w:t>
            </w:r>
            <w:r w:rsidR="00DC5FBB" w:rsidRPr="00DC5FBB">
              <w:t xml:space="preserve">ffordable </w:t>
            </w:r>
            <w:r w:rsidR="002431F3">
              <w:t>early</w:t>
            </w:r>
            <w:r w:rsidR="00DC5FBB" w:rsidRPr="00DC5FBB">
              <w:t xml:space="preserve"> education through tuition assistance.</w:t>
            </w:r>
          </w:p>
          <w:p w:rsidR="00990A2B" w:rsidRPr="00DC5FBB" w:rsidRDefault="007808A9" w:rsidP="002431F3">
            <w:pPr>
              <w:pStyle w:val="ListParagraph"/>
              <w:numPr>
                <w:ilvl w:val="0"/>
                <w:numId w:val="40"/>
              </w:numPr>
              <w:ind w:left="702"/>
            </w:pPr>
            <w:r w:rsidRPr="007808A9">
              <w:t xml:space="preserve">Work with local </w:t>
            </w:r>
            <w:r w:rsidR="00DC5FBB" w:rsidRPr="007808A9">
              <w:t>child care providers</w:t>
            </w:r>
            <w:r w:rsidRPr="007808A9">
              <w:t xml:space="preserve"> and preschools</w:t>
            </w:r>
            <w:r w:rsidR="00DC5FBB" w:rsidRPr="007808A9">
              <w:t xml:space="preserve"> to expand the use of </w:t>
            </w:r>
            <w:r w:rsidR="00F004D1">
              <w:t xml:space="preserve">formative </w:t>
            </w:r>
            <w:r w:rsidR="00DC5FBB" w:rsidRPr="007808A9">
              <w:t>assessments to guide teaching and early learning.</w:t>
            </w:r>
          </w:p>
        </w:tc>
      </w:tr>
      <w:tr w:rsidR="00990A2B" w:rsidTr="0008719B">
        <w:tc>
          <w:tcPr>
            <w:tcW w:w="3078" w:type="dxa"/>
          </w:tcPr>
          <w:p w:rsidR="004E6C93" w:rsidRDefault="00C75847" w:rsidP="005A0497">
            <w:r w:rsidRPr="00C75847">
              <w:rPr>
                <w:b/>
              </w:rPr>
              <w:t xml:space="preserve">Secure and Nurturing Environments: </w:t>
            </w:r>
            <w:r w:rsidRPr="00C75847">
              <w:t>Well trained caregivers promote the development of the whole child</w:t>
            </w:r>
          </w:p>
        </w:tc>
        <w:tc>
          <w:tcPr>
            <w:tcW w:w="7020" w:type="dxa"/>
          </w:tcPr>
          <w:p w:rsidR="002431F3" w:rsidRDefault="00DC5FBB" w:rsidP="002431F3">
            <w:pPr>
              <w:pStyle w:val="ListParagraph"/>
              <w:numPr>
                <w:ilvl w:val="0"/>
                <w:numId w:val="41"/>
              </w:numPr>
            </w:pPr>
            <w:r w:rsidRPr="00DC5FBB">
              <w:t>Support early childhood provider training</w:t>
            </w:r>
            <w:r w:rsidR="007E217F">
              <w:t>.</w:t>
            </w:r>
            <w:r w:rsidR="002D659B">
              <w:t xml:space="preserve"> </w:t>
            </w:r>
          </w:p>
          <w:p w:rsidR="00DC5FBB" w:rsidRDefault="00DC5FBB" w:rsidP="002431F3">
            <w:pPr>
              <w:pStyle w:val="ListParagraph"/>
              <w:numPr>
                <w:ilvl w:val="0"/>
                <w:numId w:val="41"/>
              </w:numPr>
            </w:pPr>
            <w:r w:rsidRPr="00DC5FBB">
              <w:t>Support quality improvement through nurse and childcare consultants</w:t>
            </w:r>
            <w:r w:rsidR="002D659B">
              <w:t>.</w:t>
            </w:r>
          </w:p>
          <w:p w:rsidR="004E6C93" w:rsidRPr="00DC5FBB" w:rsidRDefault="00DC5FBB" w:rsidP="004619B5">
            <w:pPr>
              <w:pStyle w:val="ListParagraph"/>
              <w:numPr>
                <w:ilvl w:val="0"/>
                <w:numId w:val="41"/>
              </w:numPr>
            </w:pPr>
            <w:r w:rsidRPr="007808A9">
              <w:t>Provide incentives for quality improvement rela</w:t>
            </w:r>
            <w:r w:rsidR="004619B5">
              <w:t>ted to registration, training, quality improvement</w:t>
            </w:r>
            <w:r w:rsidRPr="007808A9">
              <w:t>, and accreditation.</w:t>
            </w:r>
          </w:p>
        </w:tc>
      </w:tr>
      <w:tr w:rsidR="00990A2B" w:rsidTr="0008719B">
        <w:tc>
          <w:tcPr>
            <w:tcW w:w="3078" w:type="dxa"/>
          </w:tcPr>
          <w:p w:rsidR="00990A2B" w:rsidRDefault="00C75847" w:rsidP="005A0497">
            <w:r w:rsidRPr="00C75847">
              <w:rPr>
                <w:b/>
              </w:rPr>
              <w:t xml:space="preserve">Healthy Children: </w:t>
            </w:r>
            <w:r w:rsidRPr="00C75847">
              <w:t>Improved physical, emotional, and social developmental health of all children</w:t>
            </w:r>
            <w:r w:rsidR="002D659B">
              <w:t xml:space="preserve"> ages</w:t>
            </w:r>
            <w:r w:rsidRPr="00C75847">
              <w:t xml:space="preserve"> birth to five </w:t>
            </w:r>
          </w:p>
          <w:p w:rsidR="005906AA" w:rsidRDefault="005906AA" w:rsidP="005A0497"/>
          <w:p w:rsidR="005906AA" w:rsidRPr="00985EAB" w:rsidRDefault="005906AA" w:rsidP="005A0497"/>
        </w:tc>
        <w:tc>
          <w:tcPr>
            <w:tcW w:w="7020" w:type="dxa"/>
          </w:tcPr>
          <w:p w:rsidR="002431F3" w:rsidRDefault="00DC5FBB" w:rsidP="002431F3">
            <w:pPr>
              <w:pStyle w:val="ListParagraph"/>
              <w:numPr>
                <w:ilvl w:val="0"/>
                <w:numId w:val="42"/>
              </w:numPr>
            </w:pPr>
            <w:r w:rsidRPr="00DC5FBB">
              <w:t>Promote developmental screening and referral to early intervention</w:t>
            </w:r>
            <w:r w:rsidR="00F004D1">
              <w:t xml:space="preserve"> services</w:t>
            </w:r>
            <w:r w:rsidRPr="00DC5FBB">
              <w:t>.</w:t>
            </w:r>
            <w:r w:rsidR="00F004D1">
              <w:t xml:space="preserve"> </w:t>
            </w:r>
          </w:p>
          <w:p w:rsidR="002431F3" w:rsidRDefault="002431F3" w:rsidP="002431F3">
            <w:pPr>
              <w:pStyle w:val="ListParagraph"/>
              <w:numPr>
                <w:ilvl w:val="0"/>
                <w:numId w:val="42"/>
              </w:numPr>
            </w:pPr>
            <w:r>
              <w:t>Nurse Consultants w</w:t>
            </w:r>
            <w:r w:rsidR="00DC5FBB" w:rsidRPr="007808A9">
              <w:t xml:space="preserve">ork with </w:t>
            </w:r>
            <w:r w:rsidR="007808A9" w:rsidRPr="007808A9">
              <w:t>childcare providers</w:t>
            </w:r>
            <w:r w:rsidR="000A63BB">
              <w:t xml:space="preserve"> to share</w:t>
            </w:r>
            <w:r w:rsidR="00DC5FBB" w:rsidRPr="007808A9">
              <w:t xml:space="preserve"> information about the importance of immunizations</w:t>
            </w:r>
            <w:r w:rsidR="003C5B95">
              <w:t xml:space="preserve"> and monitor records</w:t>
            </w:r>
            <w:r w:rsidR="00DC5FBB" w:rsidRPr="007808A9">
              <w:t>.</w:t>
            </w:r>
            <w:r w:rsidR="00F004D1">
              <w:t xml:space="preserve"> </w:t>
            </w:r>
          </w:p>
          <w:p w:rsidR="003C5B95" w:rsidRPr="00DC5FBB" w:rsidRDefault="003C5B95" w:rsidP="002431F3">
            <w:pPr>
              <w:pStyle w:val="ListParagraph"/>
              <w:numPr>
                <w:ilvl w:val="0"/>
                <w:numId w:val="42"/>
              </w:numPr>
            </w:pPr>
            <w:r>
              <w:t>N</w:t>
            </w:r>
            <w:r w:rsidR="00F004D1">
              <w:t xml:space="preserve">urse </w:t>
            </w:r>
            <w:r>
              <w:t>C</w:t>
            </w:r>
            <w:r w:rsidR="00F004D1">
              <w:t>onsultants</w:t>
            </w:r>
            <w:r>
              <w:t xml:space="preserve"> help providers develop health care plans for children with special needs</w:t>
            </w:r>
            <w:r w:rsidR="00A8410F">
              <w:t xml:space="preserve"> and provide universal precautions and medication administration trainings.</w:t>
            </w:r>
          </w:p>
        </w:tc>
      </w:tr>
      <w:tr w:rsidR="00990A2B" w:rsidTr="0008719B">
        <w:tc>
          <w:tcPr>
            <w:tcW w:w="3078" w:type="dxa"/>
          </w:tcPr>
          <w:p w:rsidR="004E6C93" w:rsidRDefault="00C75847" w:rsidP="005A0497">
            <w:pPr>
              <w:rPr>
                <w:b/>
              </w:rPr>
            </w:pPr>
            <w:r w:rsidRPr="00C75847">
              <w:rPr>
                <w:b/>
              </w:rPr>
              <w:t>Secure and Nurturing Families:</w:t>
            </w:r>
            <w:r w:rsidRPr="00C75847">
              <w:t xml:space="preserve"> Support the development of nurturing bonds and healthy </w:t>
            </w:r>
            <w:r w:rsidR="00B83CF4">
              <w:t xml:space="preserve">parent/child </w:t>
            </w:r>
            <w:r w:rsidRPr="00C75847">
              <w:t>relationships</w:t>
            </w:r>
          </w:p>
        </w:tc>
        <w:tc>
          <w:tcPr>
            <w:tcW w:w="7020" w:type="dxa"/>
          </w:tcPr>
          <w:p w:rsidR="002431F3" w:rsidRDefault="00DC5FBB" w:rsidP="002431F3">
            <w:pPr>
              <w:pStyle w:val="ListParagraph"/>
              <w:numPr>
                <w:ilvl w:val="0"/>
                <w:numId w:val="43"/>
              </w:numPr>
            </w:pPr>
            <w:r w:rsidRPr="00DC5FBB">
              <w:t>Support healthy relationships between families and children through home visiting</w:t>
            </w:r>
            <w:r w:rsidR="00EC274B">
              <w:t xml:space="preserve"> services</w:t>
            </w:r>
            <w:r w:rsidRPr="00DC5FBB">
              <w:t xml:space="preserve">.  </w:t>
            </w:r>
          </w:p>
          <w:p w:rsidR="004619B5" w:rsidRDefault="00DC5FBB" w:rsidP="002431F3">
            <w:pPr>
              <w:pStyle w:val="ListParagraph"/>
              <w:numPr>
                <w:ilvl w:val="0"/>
                <w:numId w:val="43"/>
              </w:numPr>
            </w:pPr>
            <w:r w:rsidRPr="00DC5FBB">
              <w:t xml:space="preserve">Provide emergency </w:t>
            </w:r>
            <w:r w:rsidR="00EC274B">
              <w:t>child</w:t>
            </w:r>
            <w:r w:rsidRPr="00DC5FBB">
              <w:t>care during times of crisis.</w:t>
            </w:r>
            <w:r w:rsidR="00F004D1">
              <w:t xml:space="preserve"> </w:t>
            </w:r>
          </w:p>
          <w:p w:rsidR="004E6C93" w:rsidRPr="00DC5FBB" w:rsidRDefault="00900698" w:rsidP="004619B5">
            <w:pPr>
              <w:pStyle w:val="ListParagraph"/>
              <w:numPr>
                <w:ilvl w:val="0"/>
                <w:numId w:val="43"/>
              </w:numPr>
            </w:pPr>
            <w:r>
              <w:t>Work with 211 to improve</w:t>
            </w:r>
            <w:r w:rsidR="00DC5FBB" w:rsidRPr="007808A9">
              <w:t xml:space="preserve"> information and referral services </w:t>
            </w:r>
            <w:r w:rsidR="004619B5">
              <w:t>for</w:t>
            </w:r>
            <w:r w:rsidR="00DC5FBB" w:rsidRPr="007808A9">
              <w:t xml:space="preserve"> families.</w:t>
            </w:r>
          </w:p>
        </w:tc>
      </w:tr>
      <w:tr w:rsidR="00990A2B" w:rsidTr="0008719B">
        <w:tc>
          <w:tcPr>
            <w:tcW w:w="3078" w:type="dxa"/>
          </w:tcPr>
          <w:p w:rsidR="00990A2B" w:rsidRPr="00985EAB" w:rsidRDefault="00C75847" w:rsidP="005A0497">
            <w:r w:rsidRPr="00C75847">
              <w:rPr>
                <w:b/>
              </w:rPr>
              <w:t>Secure and Supportive Communities:</w:t>
            </w:r>
            <w:r w:rsidRPr="00C75847">
              <w:t xml:space="preserve"> Engage and collaborate with diverse community partners</w:t>
            </w:r>
          </w:p>
        </w:tc>
        <w:tc>
          <w:tcPr>
            <w:tcW w:w="7020" w:type="dxa"/>
          </w:tcPr>
          <w:p w:rsidR="002431F3" w:rsidRDefault="00DC5FBB" w:rsidP="002431F3">
            <w:pPr>
              <w:pStyle w:val="ListParagraph"/>
              <w:numPr>
                <w:ilvl w:val="0"/>
                <w:numId w:val="44"/>
              </w:numPr>
            </w:pPr>
            <w:r w:rsidRPr="00DC5FBB">
              <w:t xml:space="preserve">Provide information and referral for families of </w:t>
            </w:r>
            <w:r w:rsidRPr="007808A9">
              <w:t>children, prenatal to</w:t>
            </w:r>
            <w:r w:rsidRPr="00DC5FBB">
              <w:t xml:space="preserve"> </w:t>
            </w:r>
            <w:r w:rsidR="00EC274B">
              <w:t xml:space="preserve">age </w:t>
            </w:r>
            <w:r w:rsidRPr="00DC5FBB">
              <w:t>five, for additional supports.</w:t>
            </w:r>
          </w:p>
          <w:p w:rsidR="002431F3" w:rsidRDefault="00DC5FBB" w:rsidP="002431F3">
            <w:pPr>
              <w:pStyle w:val="ListParagraph"/>
              <w:numPr>
                <w:ilvl w:val="0"/>
                <w:numId w:val="44"/>
              </w:numPr>
            </w:pPr>
            <w:r w:rsidRPr="00DC5FBB">
              <w:t xml:space="preserve">Collaborate and </w:t>
            </w:r>
            <w:r w:rsidR="007808A9">
              <w:t>partner</w:t>
            </w:r>
            <w:r w:rsidRPr="00DC5FBB">
              <w:t xml:space="preserve"> with other services and agencies to promote early childhood services. </w:t>
            </w:r>
          </w:p>
          <w:p w:rsidR="004E6C93" w:rsidRPr="00DC5FBB" w:rsidRDefault="00DC5FBB" w:rsidP="002431F3">
            <w:pPr>
              <w:pStyle w:val="ListParagraph"/>
              <w:numPr>
                <w:ilvl w:val="0"/>
                <w:numId w:val="44"/>
              </w:numPr>
            </w:pPr>
            <w:r w:rsidRPr="007808A9">
              <w:t xml:space="preserve">Support </w:t>
            </w:r>
            <w:r w:rsidR="00F004D1">
              <w:t>early care and education</w:t>
            </w:r>
            <w:r w:rsidRPr="007808A9">
              <w:t xml:space="preserve"> settings that serve more families with low incomes.</w:t>
            </w:r>
          </w:p>
        </w:tc>
      </w:tr>
    </w:tbl>
    <w:p w:rsidR="00DC5CA0" w:rsidRPr="0002158A" w:rsidRDefault="00DC5CA0" w:rsidP="005A0497">
      <w:pPr>
        <w:rPr>
          <w:sz w:val="16"/>
          <w:szCs w:val="16"/>
        </w:rPr>
      </w:pPr>
    </w:p>
    <w:p w:rsidR="00596924" w:rsidRPr="000A63BB" w:rsidRDefault="009F431C" w:rsidP="000A63BB">
      <w:pPr>
        <w:shd w:val="clear" w:color="auto" w:fill="DBE5F1" w:themeFill="accent1" w:themeFillTint="33"/>
        <w:jc w:val="center"/>
        <w:rPr>
          <w:b/>
        </w:rPr>
      </w:pPr>
      <w:r w:rsidRPr="000A63BB">
        <w:rPr>
          <w:b/>
        </w:rPr>
        <w:t xml:space="preserve">Section </w:t>
      </w:r>
      <w:smartTag w:uri="urn:schemas-microsoft-com:office:smarttags" w:element="stockticker">
        <w:r w:rsidRPr="000A63BB">
          <w:rPr>
            <w:b/>
          </w:rPr>
          <w:t>III</w:t>
        </w:r>
      </w:smartTag>
    </w:p>
    <w:p w:rsidR="009F431C" w:rsidRPr="000A63BB" w:rsidRDefault="009F431C" w:rsidP="000A63BB">
      <w:pPr>
        <w:shd w:val="clear" w:color="auto" w:fill="DBE5F1" w:themeFill="accent1" w:themeFillTint="33"/>
        <w:jc w:val="center"/>
        <w:rPr>
          <w:b/>
        </w:rPr>
      </w:pPr>
      <w:r w:rsidRPr="000A63BB">
        <w:rPr>
          <w:b/>
        </w:rPr>
        <w:t>Fiscal Assessment</w:t>
      </w:r>
    </w:p>
    <w:p w:rsidR="00F91F9A" w:rsidRDefault="00F91F9A" w:rsidP="005A0497">
      <w:r w:rsidRPr="00C912F4">
        <w:t>The</w:t>
      </w:r>
      <w:r w:rsidR="004F578D">
        <w:t xml:space="preserve"> Fiscal Assessment focused on</w:t>
      </w:r>
      <w:r w:rsidR="00EC274B">
        <w:t xml:space="preserve"> identified</w:t>
      </w:r>
      <w:r w:rsidR="002431B0">
        <w:t xml:space="preserve"> childcare shortages, especially infant care. </w:t>
      </w:r>
      <w:r w:rsidR="00EC274B">
        <w:t>There is</w:t>
      </w:r>
      <w:r w:rsidR="002431B0">
        <w:t xml:space="preserve"> also concern with the decline in child care home providers. Reviewing stories from around the country shows that childcare shortages are </w:t>
      </w:r>
      <w:r w:rsidR="00E23913">
        <w:t xml:space="preserve">being experienced </w:t>
      </w:r>
      <w:r w:rsidR="002431B0">
        <w:t xml:space="preserve">in other states </w:t>
      </w:r>
      <w:r w:rsidR="002431B0" w:rsidRPr="00AD26C6">
        <w:rPr>
          <w:sz w:val="20"/>
          <w:szCs w:val="20"/>
        </w:rPr>
        <w:t xml:space="preserve">(US News 9/8/18). </w:t>
      </w:r>
      <w:r w:rsidR="002431B0">
        <w:t xml:space="preserve">Ironically </w:t>
      </w:r>
      <w:r w:rsidR="00E23913">
        <w:t>the problem</w:t>
      </w:r>
      <w:r w:rsidR="002431B0">
        <w:t xml:space="preserve"> seems to have been made worse by low unemployment.</w:t>
      </w:r>
    </w:p>
    <w:p w:rsidR="002431B0" w:rsidRDefault="00097C7C" w:rsidP="005A0497">
      <w:r>
        <w:t xml:space="preserve">One would think that with a shrinking number of childcare providers that providers would be seeing their pay increase. This is not so, </w:t>
      </w:r>
      <w:r w:rsidR="006D5489">
        <w:t xml:space="preserve">childcare is labor intensive and </w:t>
      </w:r>
      <w:r>
        <w:t xml:space="preserve">much of the efficiencies seen in other industries has been due to automation. </w:t>
      </w:r>
      <w:r w:rsidR="00AD26C6">
        <w:t xml:space="preserve">The high cost and lack of available childcare has impacts beyond parents, the US Chamber of Commerce Foundation has released a report about the need for businesses to get involved. </w:t>
      </w:r>
      <w:r w:rsidR="00AD26C6" w:rsidRPr="00AD26C6">
        <w:rPr>
          <w:sz w:val="20"/>
          <w:szCs w:val="20"/>
        </w:rPr>
        <w:t>(The Workforce of Today, the Workforce of Tomorrow</w:t>
      </w:r>
      <w:r w:rsidR="00AD26C6">
        <w:rPr>
          <w:sz w:val="20"/>
          <w:szCs w:val="20"/>
        </w:rPr>
        <w:t>,</w:t>
      </w:r>
      <w:r w:rsidR="00AD26C6" w:rsidRPr="00AD26C6">
        <w:rPr>
          <w:sz w:val="20"/>
          <w:szCs w:val="20"/>
        </w:rPr>
        <w:t xml:space="preserve"> US CC Foundation)</w:t>
      </w:r>
    </w:p>
    <w:p w:rsidR="00097C7C" w:rsidRDefault="005A0497" w:rsidP="005A0497">
      <w:r w:rsidRPr="006D5489">
        <w:rPr>
          <w:i/>
        </w:rPr>
        <w:t>Statewide Voluntary Preschool Program</w:t>
      </w:r>
      <w:r w:rsidRPr="006D5489">
        <w:t>:</w:t>
      </w:r>
      <w:r>
        <w:t xml:space="preserve"> </w:t>
      </w:r>
      <w:r w:rsidR="00097C7C" w:rsidRPr="005A0497">
        <w:t>Childcare</w:t>
      </w:r>
      <w:r w:rsidR="00097C7C">
        <w:t xml:space="preserve"> </w:t>
      </w:r>
      <w:r w:rsidR="006D5489">
        <w:t>settings have seen unintended effects of</w:t>
      </w:r>
      <w:r w:rsidR="00097C7C">
        <w:t xml:space="preserve"> the </w:t>
      </w:r>
      <w:r w:rsidR="00B23364">
        <w:t>growth of the Statewide Voluntary Preschool Program (SWVPP) for four year old children. As more children have switched from private preschools and childcare settings to the free SWVPP childcare</w:t>
      </w:r>
      <w:r w:rsidR="006D5489">
        <w:t>, providers have</w:t>
      </w:r>
      <w:r w:rsidR="00B23364">
        <w:t xml:space="preserve"> to draw a greater percentage of their revenue fro</w:t>
      </w:r>
      <w:r>
        <w:t>m younger children.</w:t>
      </w:r>
      <w:r w:rsidR="00B23364">
        <w:t xml:space="preserve"> </w:t>
      </w:r>
      <w:r w:rsidR="00AE1991">
        <w:t>This</w:t>
      </w:r>
      <w:r w:rsidR="006D5489">
        <w:t xml:space="preserve"> is especially true for infant care where </w:t>
      </w:r>
      <w:r w:rsidR="00B23364">
        <w:t>higher staffing ratios required.</w:t>
      </w:r>
    </w:p>
    <w:p w:rsidR="00B23364" w:rsidRDefault="00B23364" w:rsidP="005A0497">
      <w:r>
        <w:t xml:space="preserve">The SWVPP is not means </w:t>
      </w:r>
      <w:r w:rsidR="005A0497">
        <w:t>tested;</w:t>
      </w:r>
      <w:r>
        <w:t xml:space="preserve"> parents who </w:t>
      </w:r>
      <w:r w:rsidR="00012C1A">
        <w:t xml:space="preserve">had </w:t>
      </w:r>
      <w:r w:rsidR="007C7CBE">
        <w:t>been willing to pay</w:t>
      </w:r>
      <w:r w:rsidR="005A0497">
        <w:t xml:space="preserve"> private providers</w:t>
      </w:r>
      <w:r w:rsidR="007C7CBE">
        <w:t xml:space="preserve"> for preschool now </w:t>
      </w:r>
      <w:r w:rsidR="005A0497">
        <w:t>receive</w:t>
      </w:r>
      <w:r w:rsidR="007C7CBE">
        <w:t xml:space="preserve"> it for free. The SWVPP is often located in a separate location from the childcare setting. This requires parents to arrange for transportation from the preschool to childcare. For many families they are not able to take time away from work in the middle of the day to provide transportation. It is easier for these parents to leave their child in childcare. This is demonstrated by data on the Iowa </w:t>
      </w:r>
      <w:r w:rsidR="00C17AAE">
        <w:t xml:space="preserve">Department </w:t>
      </w:r>
      <w:r w:rsidR="007C7CBE">
        <w:t xml:space="preserve">of </w:t>
      </w:r>
      <w:r w:rsidR="00C17AAE">
        <w:t>Education</w:t>
      </w:r>
      <w:r w:rsidR="007C7CBE">
        <w:t xml:space="preserve"> website that shows that a lower percent of children eligible for free and reduced lunches attend SWVPP</w:t>
      </w:r>
      <w:r w:rsidR="005A0497">
        <w:t xml:space="preserve"> when compared to the percent in regular education.</w:t>
      </w:r>
    </w:p>
    <w:p w:rsidR="00950285" w:rsidRDefault="005A0497" w:rsidP="005A0497">
      <w:r w:rsidRPr="006D5489">
        <w:rPr>
          <w:i/>
        </w:rPr>
        <w:t>Childcare Assistance (CCA):</w:t>
      </w:r>
      <w:r>
        <w:rPr>
          <w:i/>
        </w:rPr>
        <w:t xml:space="preserve"> C</w:t>
      </w:r>
      <w:r w:rsidR="00C912F4" w:rsidRPr="005A0497">
        <w:t xml:space="preserve">ompared to other </w:t>
      </w:r>
      <w:r w:rsidR="00AE1991">
        <w:t xml:space="preserve">Iowa </w:t>
      </w:r>
      <w:r w:rsidR="00C912F4" w:rsidRPr="005A0497">
        <w:t>counties</w:t>
      </w:r>
      <w:r w:rsidR="007D6852" w:rsidRPr="005A0497">
        <w:t xml:space="preserve">, parents in this ECI Area use </w:t>
      </w:r>
      <w:r>
        <w:t>the CCA</w:t>
      </w:r>
      <w:r w:rsidR="007D6852" w:rsidRPr="005A0497">
        <w:t xml:space="preserve"> </w:t>
      </w:r>
      <w:r>
        <w:t>program</w:t>
      </w:r>
      <w:r w:rsidR="00C912F4" w:rsidRPr="005A0497">
        <w:t xml:space="preserve"> at a significantly lower rate. </w:t>
      </w:r>
      <w:r w:rsidR="00EC274B">
        <w:t>Increasing the use of CCA by</w:t>
      </w:r>
      <w:r w:rsidR="00C912F4" w:rsidRPr="005A0497">
        <w:t xml:space="preserve">20% would generate $300,000 in state funding. </w:t>
      </w:r>
      <w:r w:rsidR="007D6852" w:rsidRPr="005A0497">
        <w:t xml:space="preserve">While the CCA rate is less than the market rate, it can be increased when programs achieve the highest quality levels. </w:t>
      </w:r>
      <w:r w:rsidR="00E06745">
        <w:t xml:space="preserve">In 2017 only 3% of area children receiving CCA were in high quality settings </w:t>
      </w:r>
      <w:r>
        <w:t>(CCRR 2018)</w:t>
      </w:r>
      <w:r w:rsidR="00E06745">
        <w:t>.</w:t>
      </w:r>
    </w:p>
    <w:p w:rsidR="005A0497" w:rsidRDefault="00AE425B" w:rsidP="00AE1991">
      <w:pPr>
        <w:spacing w:before="0" w:after="240"/>
      </w:pPr>
      <w:r>
        <w:t>There are several reasons why CCA is underutilized, the reimbursement rate is often significantly lower that the prevailing market rate. This leads providers to either not accept CCA or limit the number of children with CCA. It is also underfunded, statewide only 28% of eligible children receive CCA.</w:t>
      </w:r>
    </w:p>
    <w:p w:rsidR="00AE425B" w:rsidRDefault="00F87E1C" w:rsidP="005A0497">
      <w:r w:rsidRPr="00AE1991">
        <w:rPr>
          <w:i/>
        </w:rPr>
        <w:t>Fragmentation</w:t>
      </w:r>
      <w:r w:rsidR="000A63BB">
        <w:rPr>
          <w:i/>
        </w:rPr>
        <w:t xml:space="preserve"> of funding and regulation</w:t>
      </w:r>
      <w:r w:rsidR="0002158A">
        <w:rPr>
          <w:i/>
        </w:rPr>
        <w:t>s</w:t>
      </w:r>
      <w:r w:rsidR="00AE1991">
        <w:rPr>
          <w:i/>
        </w:rPr>
        <w:t xml:space="preserve">: </w:t>
      </w:r>
      <w:r w:rsidR="00AE1991">
        <w:t xml:space="preserve">Childcare has multiple funding streams (parents, DHS, DE, IDPH, Head Start, and ECI) and each funding source comes with its own rules and regulations. As noted above there are unintended and sometimes negative consequences when each entity works independently of the other. While any single change or requirement </w:t>
      </w:r>
      <w:r w:rsidR="004541E9">
        <w:t>one agency sees as reasonable and well intended</w:t>
      </w:r>
      <w:r w:rsidR="00E06745">
        <w:t>,</w:t>
      </w:r>
      <w:r w:rsidR="004541E9">
        <w:t xml:space="preserve"> it is only when seen in the context of the entire early care and education system that the broader impacts can be seen. </w:t>
      </w:r>
    </w:p>
    <w:p w:rsidR="004541E9" w:rsidRDefault="004541E9" w:rsidP="005A0497">
      <w:r>
        <w:t>A recent example is how the more stringent federal requirements related to CCA may have had the adverse impact of</w:t>
      </w:r>
      <w:r w:rsidR="00F0159C">
        <w:t xml:space="preserve"> leading more home providers to become unlicensed and unregistered. The same may be said of increased quality improvement standards when the corresponding incentives do not match the additional work required.</w:t>
      </w:r>
    </w:p>
    <w:p w:rsidR="00A41D27" w:rsidRDefault="00F0159C" w:rsidP="005A0497">
      <w:r>
        <w:t xml:space="preserve">Childcare is also </w:t>
      </w:r>
      <w:r w:rsidR="00A41D27">
        <w:t xml:space="preserve">impacted by </w:t>
      </w:r>
      <w:r>
        <w:t xml:space="preserve">the current political climate </w:t>
      </w:r>
      <w:r w:rsidR="00A41D27">
        <w:t>that</w:t>
      </w:r>
      <w:r>
        <w:t xml:space="preserve"> supports free market solutions to any economic problem and shuns government actions.</w:t>
      </w:r>
      <w:r w:rsidR="00A41D27">
        <w:t xml:space="preserve"> Over the last several decades there has been a significant increase in out-of-wedlock births</w:t>
      </w:r>
      <w:r w:rsidR="0002158A">
        <w:t xml:space="preserve"> in Iowa</w:t>
      </w:r>
      <w:r w:rsidR="00A41D27">
        <w:t xml:space="preserve"> (35% in 2016, IDPH). Research also shows that single parent households are much more likely to live in poverty.</w:t>
      </w:r>
      <w:r w:rsidR="00C37D1B">
        <w:t xml:space="preserve"> </w:t>
      </w:r>
    </w:p>
    <w:p w:rsidR="00C37D1B" w:rsidRDefault="00A41D27" w:rsidP="005A0497">
      <w:r>
        <w:t>Childcare</w:t>
      </w:r>
      <w:r w:rsidR="00C37D1B">
        <w:t xml:space="preserve"> is also constrained by the idea that children only need baby sitters; a job that is frequently done by junior high students.</w:t>
      </w:r>
      <w:r>
        <w:t xml:space="preserve"> </w:t>
      </w:r>
      <w:r w:rsidR="00C37D1B">
        <w:t>The truth is that children benefit from high quality early care and education provided by a well trained and highly skilled educator. It is also known that these benefits have a disproportionate positive effect on</w:t>
      </w:r>
      <w:r w:rsidR="000B3245">
        <w:t xml:space="preserve"> children from</w:t>
      </w:r>
      <w:r w:rsidR="00C37D1B">
        <w:t xml:space="preserve"> </w:t>
      </w:r>
      <w:r w:rsidR="000B3245">
        <w:t>low income and other at risk situations.</w:t>
      </w:r>
    </w:p>
    <w:p w:rsidR="000B3245" w:rsidRDefault="00F87E1C" w:rsidP="000B3245">
      <w:r w:rsidRPr="000B3245">
        <w:rPr>
          <w:i/>
        </w:rPr>
        <w:t>Recommendations</w:t>
      </w:r>
      <w:r w:rsidR="000B3245">
        <w:rPr>
          <w:i/>
        </w:rPr>
        <w:t xml:space="preserve">: </w:t>
      </w:r>
      <w:r w:rsidR="000B3245">
        <w:t xml:space="preserve">It would be naive for </w:t>
      </w:r>
      <w:r w:rsidR="000F2F04">
        <w:t xml:space="preserve">the </w:t>
      </w:r>
      <w:r w:rsidR="000B3245">
        <w:t>BooSt</w:t>
      </w:r>
      <w:r w:rsidR="000F2F04">
        <w:t xml:space="preserve"> Board</w:t>
      </w:r>
      <w:r w:rsidR="000B3245">
        <w:t xml:space="preserve"> to act as if the above tensions and contradictions </w:t>
      </w:r>
      <w:r w:rsidR="00344897">
        <w:t xml:space="preserve">surrounding childcare </w:t>
      </w:r>
      <w:r w:rsidR="000B3245">
        <w:t xml:space="preserve">did not exist. </w:t>
      </w:r>
      <w:r w:rsidR="001C5082">
        <w:t>BooSt</w:t>
      </w:r>
      <w:r w:rsidR="000B3245">
        <w:t xml:space="preserve"> should plan for flat or slowly shrinking </w:t>
      </w:r>
      <w:r w:rsidR="00344897">
        <w:t>state support</w:t>
      </w:r>
      <w:r w:rsidR="000B3245">
        <w:t xml:space="preserve"> for the foreseeable future.</w:t>
      </w:r>
      <w:r w:rsidR="006A2E13">
        <w:t xml:space="preserve"> If support for early care and education is to grow, it needs to come from local resources. </w:t>
      </w:r>
      <w:r w:rsidR="009F7BF8">
        <w:t>Greater efficienc</w:t>
      </w:r>
      <w:r w:rsidR="00E06745">
        <w:t>y</w:t>
      </w:r>
      <w:r w:rsidR="009F7BF8">
        <w:t xml:space="preserve"> need</w:t>
      </w:r>
      <w:r w:rsidR="00E06745">
        <w:t>s</w:t>
      </w:r>
      <w:r w:rsidR="009F7BF8">
        <w:t xml:space="preserve"> to be obtained through collaboration and coordination.</w:t>
      </w:r>
    </w:p>
    <w:p w:rsidR="00F87E1C" w:rsidRDefault="00EC274B" w:rsidP="006A2E13">
      <w:pPr>
        <w:pStyle w:val="ListParagraph"/>
        <w:numPr>
          <w:ilvl w:val="0"/>
          <w:numId w:val="38"/>
        </w:numPr>
        <w:spacing w:before="0" w:after="0"/>
        <w:ind w:left="540"/>
      </w:pPr>
      <w:r>
        <w:t xml:space="preserve">Collaborate </w:t>
      </w:r>
      <w:r w:rsidR="006A2E13">
        <w:t>with local businesses that are having trouble finding workers due to the childcare shortage.</w:t>
      </w:r>
    </w:p>
    <w:p w:rsidR="002C38FA" w:rsidRDefault="00EC274B" w:rsidP="006A2E13">
      <w:pPr>
        <w:pStyle w:val="ListParagraph"/>
        <w:numPr>
          <w:ilvl w:val="0"/>
          <w:numId w:val="38"/>
        </w:numPr>
        <w:spacing w:before="0" w:after="0"/>
        <w:ind w:left="540"/>
      </w:pPr>
      <w:r>
        <w:t xml:space="preserve">Collaborate </w:t>
      </w:r>
      <w:r w:rsidR="002C38FA">
        <w:t>with city, county, university, and local funders to make sure that early childhood is a priority and that local efforts are coordinated.</w:t>
      </w:r>
    </w:p>
    <w:p w:rsidR="006A2E13" w:rsidRDefault="00EC274B" w:rsidP="006A2E13">
      <w:pPr>
        <w:pStyle w:val="ListParagraph"/>
        <w:numPr>
          <w:ilvl w:val="0"/>
          <w:numId w:val="38"/>
        </w:numPr>
        <w:spacing w:before="0" w:after="0"/>
        <w:ind w:left="540"/>
      </w:pPr>
      <w:r>
        <w:t xml:space="preserve">Collaborate </w:t>
      </w:r>
      <w:r w:rsidR="006A2E13">
        <w:t>with CCRR to actively recruit and support new home care providers.</w:t>
      </w:r>
    </w:p>
    <w:p w:rsidR="006A2E13" w:rsidRDefault="006A2E13" w:rsidP="006A2E13">
      <w:pPr>
        <w:pStyle w:val="ListParagraph"/>
        <w:numPr>
          <w:ilvl w:val="0"/>
          <w:numId w:val="38"/>
        </w:numPr>
        <w:spacing w:before="0" w:after="0"/>
        <w:ind w:left="540"/>
      </w:pPr>
      <w:r>
        <w:t>Work with school districts and childcare centers to explore collaborative arrangements to combine chil</w:t>
      </w:r>
      <w:r w:rsidR="009E063A">
        <w:t>dcare and preschool to have full day programming</w:t>
      </w:r>
      <w:r>
        <w:t xml:space="preserve"> in one setting.</w:t>
      </w:r>
    </w:p>
    <w:p w:rsidR="006A2E13" w:rsidRDefault="006A2E13" w:rsidP="006A2E13">
      <w:pPr>
        <w:pStyle w:val="ListParagraph"/>
        <w:numPr>
          <w:ilvl w:val="0"/>
          <w:numId w:val="38"/>
        </w:numPr>
        <w:spacing w:before="0" w:after="0"/>
        <w:ind w:left="540"/>
      </w:pPr>
      <w:r>
        <w:t xml:space="preserve">Disaggregate </w:t>
      </w:r>
      <w:r w:rsidR="002C38FA">
        <w:t>local outcome data by income, race and ethnicity to determine how well prepared all children are to enter and succeed in school.</w:t>
      </w:r>
    </w:p>
    <w:p w:rsidR="00AE425B" w:rsidRDefault="00AE425B" w:rsidP="005A0497"/>
    <w:p w:rsidR="001B1663" w:rsidRPr="003C2571" w:rsidRDefault="001B1663" w:rsidP="001B1663">
      <w:pPr>
        <w:rPr>
          <w:b/>
        </w:rPr>
      </w:pPr>
      <w:bookmarkStart w:id="0" w:name="OLE_LINK3"/>
      <w:bookmarkStart w:id="1" w:name="OLE_LINK4"/>
      <w:r>
        <w:rPr>
          <w:b/>
        </w:rPr>
        <w:t xml:space="preserve">BooSt </w:t>
      </w:r>
      <w:r w:rsidRPr="003C2571">
        <w:rPr>
          <w:b/>
        </w:rPr>
        <w:t>ECI Area Board’s Process for Awarding Funds</w:t>
      </w:r>
    </w:p>
    <w:bookmarkEnd w:id="0"/>
    <w:bookmarkEnd w:id="1"/>
    <w:p w:rsidR="001B1663" w:rsidRDefault="001B1663" w:rsidP="001B1663">
      <w:r>
        <w:t>T</w:t>
      </w:r>
      <w:r w:rsidRPr="002B0545">
        <w:t xml:space="preserve">he </w:t>
      </w:r>
      <w:r w:rsidRPr="003C2571">
        <w:t xml:space="preserve">BooSt </w:t>
      </w:r>
      <w:r>
        <w:t xml:space="preserve">ECI Area uses a competitive bid process to identify qualified providers to financial support programming and services that address early childhood priorities in the community plan.  Policies and procedures are in place to do multi-year contracts.  Board priorities for funding will be evaluated at least annually, which will guide decisions regarding the bid process.  An appeal process regarding the Board’s decisions for awarding funds is included with the application. </w:t>
      </w:r>
    </w:p>
    <w:p w:rsidR="000A63BB" w:rsidRDefault="000A63BB">
      <w:pPr>
        <w:tabs>
          <w:tab w:val="clear" w:pos="900"/>
        </w:tabs>
        <w:spacing w:before="0" w:after="0"/>
      </w:pPr>
      <w:r>
        <w:br w:type="page"/>
      </w:r>
    </w:p>
    <w:p w:rsidR="00596924" w:rsidRPr="00785199" w:rsidRDefault="00607822" w:rsidP="00785199">
      <w:pPr>
        <w:shd w:val="clear" w:color="auto" w:fill="B8CCE4" w:themeFill="accent1" w:themeFillTint="66"/>
        <w:jc w:val="center"/>
        <w:rPr>
          <w:sz w:val="28"/>
          <w:szCs w:val="28"/>
        </w:rPr>
      </w:pPr>
      <w:r w:rsidRPr="00785199">
        <w:rPr>
          <w:sz w:val="28"/>
          <w:szCs w:val="28"/>
        </w:rPr>
        <w:t>Section IV</w:t>
      </w:r>
    </w:p>
    <w:p w:rsidR="00607822" w:rsidRPr="00785199" w:rsidRDefault="00607822" w:rsidP="00785199">
      <w:pPr>
        <w:shd w:val="clear" w:color="auto" w:fill="B8CCE4" w:themeFill="accent1" w:themeFillTint="66"/>
        <w:jc w:val="center"/>
        <w:rPr>
          <w:sz w:val="28"/>
          <w:szCs w:val="28"/>
        </w:rPr>
      </w:pPr>
      <w:r w:rsidRPr="00785199">
        <w:rPr>
          <w:sz w:val="28"/>
          <w:szCs w:val="28"/>
        </w:rPr>
        <w:t>Community Collaboration</w:t>
      </w:r>
    </w:p>
    <w:p w:rsidR="008D2B20" w:rsidRDefault="001A0F6D" w:rsidP="005A0497">
      <w:r>
        <w:t>T</w:t>
      </w:r>
      <w:r w:rsidR="008D2B20" w:rsidRPr="00912385">
        <w:t xml:space="preserve">he ECI Area Board </w:t>
      </w:r>
      <w:r>
        <w:t>strives to develop an organizational</w:t>
      </w:r>
      <w:r w:rsidR="008D2B20">
        <w:t xml:space="preserve"> structure </w:t>
      </w:r>
      <w:r>
        <w:t xml:space="preserve">and business practices </w:t>
      </w:r>
      <w:r w:rsidR="008D2B20">
        <w:t>that will ensure open communication between</w:t>
      </w:r>
      <w:r>
        <w:t xml:space="preserve"> families,</w:t>
      </w:r>
      <w:r w:rsidR="008D2B20">
        <w:t xml:space="preserve"> contracted service providers, community stakeholders, and board members.  The ECI Area board will strive to include work groups or committees that </w:t>
      </w:r>
      <w:r w:rsidR="008D2B20" w:rsidRPr="00912385">
        <w:t xml:space="preserve">enhance communication and collaboration efforts within </w:t>
      </w:r>
      <w:r w:rsidR="008D2B20">
        <w:t>the ECI Area.</w:t>
      </w:r>
      <w:r w:rsidR="001E0F49">
        <w:t xml:space="preserve">  Community planning partners </w:t>
      </w:r>
      <w:r>
        <w:t xml:space="preserve">and efforts </w:t>
      </w:r>
      <w:r w:rsidR="001E0F49">
        <w:t>include, but ar</w:t>
      </w:r>
      <w:r w:rsidR="00543354">
        <w:t>e not limited, to the following:</w:t>
      </w:r>
      <w:r w:rsidR="008D2B20">
        <w:t xml:space="preserve">  </w:t>
      </w:r>
      <w:r w:rsidR="008D2B20" w:rsidRPr="00912385">
        <w:t xml:space="preserve">  </w:t>
      </w:r>
    </w:p>
    <w:p w:rsidR="00921528" w:rsidRPr="00E22B6C" w:rsidRDefault="00921528" w:rsidP="005A0497">
      <w:r>
        <w:rPr>
          <w:b/>
          <w:i/>
        </w:rPr>
        <w:t xml:space="preserve">Boards of Supervisors </w:t>
      </w:r>
      <w:r>
        <w:t>in both Boone County and Story County have demonstrated consistent support local Early Childhood Iowa Area efforts</w:t>
      </w:r>
      <w:r w:rsidRPr="006C690C">
        <w:t>.</w:t>
      </w:r>
      <w:r>
        <w:t xml:space="preserve">  Representatives of the Boards of Supervisors serve on the local board, and the counties ensure that fiscal agent services and employer of records services are provided for the ECI Area.    </w:t>
      </w:r>
      <w:r w:rsidRPr="00E22B6C">
        <w:t xml:space="preserve"> </w:t>
      </w:r>
    </w:p>
    <w:p w:rsidR="0052700D" w:rsidRPr="001915D1" w:rsidRDefault="0052700D" w:rsidP="005A0497">
      <w:pPr>
        <w:rPr>
          <w:b/>
        </w:rPr>
      </w:pPr>
      <w:r w:rsidRPr="00543354">
        <w:rPr>
          <w:b/>
          <w:i/>
        </w:rPr>
        <w:t>Child Abuse P</w:t>
      </w:r>
      <w:r w:rsidR="00543354" w:rsidRPr="00543354">
        <w:rPr>
          <w:b/>
          <w:i/>
        </w:rPr>
        <w:t>revention Council</w:t>
      </w:r>
      <w:r w:rsidRPr="00543354">
        <w:rPr>
          <w:b/>
          <w:i/>
        </w:rPr>
        <w:t xml:space="preserve"> </w:t>
      </w:r>
      <w:r w:rsidRPr="00543354">
        <w:t>-</w:t>
      </w:r>
      <w:r w:rsidRPr="00543354">
        <w:rPr>
          <w:b/>
          <w:i/>
        </w:rPr>
        <w:t xml:space="preserve"> </w:t>
      </w:r>
      <w:r w:rsidRPr="00543354">
        <w:t xml:space="preserve">Boone </w:t>
      </w:r>
      <w:r w:rsidR="00F16647" w:rsidRPr="00543354">
        <w:t xml:space="preserve">and Story </w:t>
      </w:r>
      <w:r w:rsidRPr="00543354">
        <w:t xml:space="preserve">County CARES is the Child Abuse Prevention Council </w:t>
      </w:r>
      <w:r w:rsidR="00543354">
        <w:t>for</w:t>
      </w:r>
      <w:r w:rsidRPr="00543354">
        <w:t xml:space="preserve"> Boone</w:t>
      </w:r>
      <w:r w:rsidR="00F16647" w:rsidRPr="00543354">
        <w:t xml:space="preserve"> and Story</w:t>
      </w:r>
      <w:r w:rsidRPr="00543354">
        <w:t xml:space="preserve"> County.  CARES offers supports and services throughout </w:t>
      </w:r>
      <w:r w:rsidR="00F16647" w:rsidRPr="00543354">
        <w:t>the ECI Area</w:t>
      </w:r>
      <w:r w:rsidRPr="00543354">
        <w:t xml:space="preserve"> to address Child Abuse Prevention.  The services and supports offered include Pa</w:t>
      </w:r>
      <w:r w:rsidR="00543354">
        <w:t>rent Education c</w:t>
      </w:r>
      <w:r w:rsidRPr="00543354">
        <w:t>lasses</w:t>
      </w:r>
      <w:r w:rsidR="00F16647" w:rsidRPr="00543354">
        <w:t xml:space="preserve"> and classes for parents going through a divorce.</w:t>
      </w:r>
    </w:p>
    <w:p w:rsidR="001915D1" w:rsidRPr="00E458B8" w:rsidRDefault="001915D1" w:rsidP="00785199">
      <w:pPr>
        <w:pStyle w:val="ListParagraph"/>
        <w:ind w:left="0"/>
      </w:pPr>
      <w:r w:rsidRPr="00C17AAE">
        <w:rPr>
          <w:b/>
          <w:i/>
        </w:rPr>
        <w:t>Children’s Well-being Community Collaborative</w:t>
      </w:r>
      <w:r w:rsidRPr="00E458B8">
        <w:t xml:space="preserve"> </w:t>
      </w:r>
      <w:r w:rsidR="000F2F04">
        <w:t xml:space="preserve">- The </w:t>
      </w:r>
      <w:r>
        <w:t>BooSt</w:t>
      </w:r>
      <w:r w:rsidR="000F2F04">
        <w:t xml:space="preserve"> ECI Area</w:t>
      </w:r>
      <w:r>
        <w:t xml:space="preserve"> has participated in this</w:t>
      </w:r>
      <w:r w:rsidRPr="00E458B8">
        <w:t xml:space="preserve"> grant awarded to YSS i</w:t>
      </w:r>
      <w:r>
        <w:t>n Ames. The goal of the grant i</w:t>
      </w:r>
      <w:r w:rsidRPr="00E458B8">
        <w:t>s to pull together representatives from a six county region in central Iowa to identify how we c</w:t>
      </w:r>
      <w:r>
        <w:t>an</w:t>
      </w:r>
      <w:r w:rsidRPr="00E458B8">
        <w:t xml:space="preserve"> collaborate to develop a more integrated system of care to address </w:t>
      </w:r>
      <w:r>
        <w:t xml:space="preserve">the </w:t>
      </w:r>
      <w:r w:rsidRPr="00E458B8">
        <w:t xml:space="preserve">mental health needs </w:t>
      </w:r>
      <w:r>
        <w:t>of young children</w:t>
      </w:r>
      <w:r w:rsidRPr="00E458B8">
        <w:t>.</w:t>
      </w:r>
    </w:p>
    <w:p w:rsidR="0052700D" w:rsidRDefault="0052700D" w:rsidP="005A0497">
      <w:r>
        <w:rPr>
          <w:b/>
          <w:i/>
        </w:rPr>
        <w:t xml:space="preserve">Community Resources Guides </w:t>
      </w:r>
      <w:r>
        <w:t>- Boone and Story Counties have directories of resources, supports, and servic</w:t>
      </w:r>
      <w:r w:rsidR="001915D1">
        <w:t>es available for families.  A part of the work of the Community Collaboration grant is focused on how to coordinate and organize information about local resources. We are currently working with Iowa 211 to develop local partners who will work with 211 to make sure that local resources are current and accurate.</w:t>
      </w:r>
      <w:r w:rsidRPr="006C690C">
        <w:t xml:space="preserve"> </w:t>
      </w:r>
    </w:p>
    <w:p w:rsidR="00846814" w:rsidRPr="00E22B6C" w:rsidRDefault="00846814" w:rsidP="005A0497">
      <w:r>
        <w:rPr>
          <w:b/>
          <w:i/>
        </w:rPr>
        <w:t xml:space="preserve">Community Solutions to Childcare Shortages </w:t>
      </w:r>
      <w:r>
        <w:t>– this project was developed by the Iowa Women’s Foundation. BooSt</w:t>
      </w:r>
      <w:r w:rsidR="000F2F04">
        <w:t xml:space="preserve"> ECI Area</w:t>
      </w:r>
      <w:r>
        <w:t xml:space="preserve"> began working with the IWF in June of 2018. </w:t>
      </w:r>
      <w:r w:rsidR="00A138A1">
        <w:t>W</w:t>
      </w:r>
      <w:r>
        <w:t>orkgroup</w:t>
      </w:r>
      <w:r w:rsidR="00A138A1">
        <w:t>s</w:t>
      </w:r>
      <w:r>
        <w:t xml:space="preserve"> of childcare professionals, businesses and community stakeholders are working to reduce CC shortages.</w:t>
      </w:r>
    </w:p>
    <w:p w:rsidR="008D2B20" w:rsidRPr="006C6BAB" w:rsidRDefault="008D2B20" w:rsidP="005A0497">
      <w:r w:rsidRPr="006C6BAB">
        <w:rPr>
          <w:b/>
          <w:i/>
        </w:rPr>
        <w:t>Decategorization Projects</w:t>
      </w:r>
      <w:r w:rsidR="001C5082">
        <w:rPr>
          <w:b/>
          <w:i/>
        </w:rPr>
        <w:t xml:space="preserve"> (DCAT)</w:t>
      </w:r>
      <w:r w:rsidRPr="006C6BAB">
        <w:rPr>
          <w:b/>
          <w:i/>
        </w:rPr>
        <w:t xml:space="preserve"> - </w:t>
      </w:r>
      <w:r>
        <w:t>T</w:t>
      </w:r>
      <w:r w:rsidR="001C5082">
        <w:t>here are two DCAT</w:t>
      </w:r>
      <w:r w:rsidRPr="006C6BAB">
        <w:t xml:space="preserve"> Projects in the </w:t>
      </w:r>
      <w:r w:rsidRPr="00543354">
        <w:t>BooSt</w:t>
      </w:r>
      <w:r>
        <w:t xml:space="preserve"> </w:t>
      </w:r>
      <w:r w:rsidRPr="006C6BAB">
        <w:t xml:space="preserve">ECI Area, each with its own Governance Board.  Boone and Dallas Counties are one </w:t>
      </w:r>
      <w:r w:rsidR="001C5082">
        <w:t>DCAT</w:t>
      </w:r>
      <w:r w:rsidR="001C5082" w:rsidRPr="006C6BAB">
        <w:t xml:space="preserve"> </w:t>
      </w:r>
      <w:r w:rsidRPr="006C6BAB">
        <w:t>Cluster, and Story County is a separate</w:t>
      </w:r>
      <w:r w:rsidR="001C5082" w:rsidRPr="001C5082">
        <w:t xml:space="preserve"> </w:t>
      </w:r>
      <w:r w:rsidR="001C5082">
        <w:t>DCAT</w:t>
      </w:r>
      <w:r w:rsidR="001C5082" w:rsidRPr="006C6BAB">
        <w:t xml:space="preserve"> </w:t>
      </w:r>
      <w:r w:rsidRPr="006C6BAB">
        <w:t xml:space="preserve">Cluster.  </w:t>
      </w:r>
      <w:r w:rsidR="001C5082">
        <w:t>DCAT</w:t>
      </w:r>
      <w:r w:rsidRPr="006C6BAB">
        <w:t xml:space="preserve"> focuses on meeting the needs of at-risk children 0 to 18 years of age, in particular those children and families that may be involved with, or at risk for involvement with, either the Department of Human Services </w:t>
      </w:r>
      <w:r>
        <w:t xml:space="preserve">Child Welfare system </w:t>
      </w:r>
      <w:r w:rsidRPr="006C6BAB">
        <w:t xml:space="preserve">or </w:t>
      </w:r>
      <w:r>
        <w:t xml:space="preserve">the </w:t>
      </w:r>
      <w:r w:rsidRPr="006C6BAB">
        <w:t>Juvenile Court Services</w:t>
      </w:r>
      <w:r>
        <w:t xml:space="preserve"> system</w:t>
      </w:r>
      <w:r w:rsidRPr="006C6BAB">
        <w:t xml:space="preserve">.  The </w:t>
      </w:r>
      <w:r w:rsidR="001C5082">
        <w:t>DCAT</w:t>
      </w:r>
      <w:r w:rsidRPr="006C6BAB">
        <w:t xml:space="preserve"> Clusters oversee the Community Partnership for Protecting Children (CPPC).  </w:t>
      </w:r>
    </w:p>
    <w:p w:rsidR="00F10ABC" w:rsidRPr="00DD0986" w:rsidRDefault="00F10ABC" w:rsidP="005A0497">
      <w:r>
        <w:rPr>
          <w:b/>
          <w:i/>
        </w:rPr>
        <w:t>Heartland Area Education Agency 11</w:t>
      </w:r>
      <w:r w:rsidRPr="00DD0986">
        <w:rPr>
          <w:b/>
          <w:i/>
        </w:rPr>
        <w:t xml:space="preserve"> </w:t>
      </w:r>
      <w:r>
        <w:t>is a partner with the</w:t>
      </w:r>
      <w:r w:rsidR="001B1663">
        <w:t xml:space="preserve"> BooSt</w:t>
      </w:r>
      <w:r>
        <w:t xml:space="preserve"> ECI Area in working with local schools and early education providers to provide educational services, programs, and resources for improving the learning outcomes and well being of children.</w:t>
      </w:r>
    </w:p>
    <w:p w:rsidR="0052700D" w:rsidRPr="00DD0986" w:rsidRDefault="0052700D" w:rsidP="005A0497">
      <w:r>
        <w:rPr>
          <w:b/>
          <w:i/>
        </w:rPr>
        <w:t xml:space="preserve">Homeless Resources </w:t>
      </w:r>
      <w:r w:rsidR="001915D1">
        <w:rPr>
          <w:b/>
          <w:i/>
        </w:rPr>
        <w:t>–</w:t>
      </w:r>
      <w:r>
        <w:rPr>
          <w:b/>
          <w:i/>
        </w:rPr>
        <w:t xml:space="preserve"> </w:t>
      </w:r>
      <w:r w:rsidR="001915D1">
        <w:t xml:space="preserve">The homeless shelter in Story County serves both counties. </w:t>
      </w:r>
      <w:r>
        <w:t xml:space="preserve"> </w:t>
      </w:r>
      <w:r w:rsidR="001915D1">
        <w:t>Their services include</w:t>
      </w:r>
      <w:r>
        <w:t xml:space="preserve"> </w:t>
      </w:r>
      <w:r w:rsidR="001915D1">
        <w:t>shelters for families and women</w:t>
      </w:r>
      <w:r>
        <w:t xml:space="preserve"> and transitional living.</w:t>
      </w:r>
    </w:p>
    <w:p w:rsidR="008D2B20" w:rsidRDefault="008D2B20" w:rsidP="005A0497">
      <w:r w:rsidRPr="00DD0986">
        <w:rPr>
          <w:b/>
          <w:i/>
        </w:rPr>
        <w:t xml:space="preserve">Human Services Councils </w:t>
      </w:r>
      <w:r w:rsidRPr="00DD0986">
        <w:t xml:space="preserve">- Both counties </w:t>
      </w:r>
      <w:r>
        <w:t xml:space="preserve">in the </w:t>
      </w:r>
      <w:r w:rsidRPr="008B0D60">
        <w:t xml:space="preserve">BooSt </w:t>
      </w:r>
      <w:r>
        <w:t xml:space="preserve">ECI Area </w:t>
      </w:r>
      <w:r w:rsidRPr="00DD0986">
        <w:t>have Human Services Councils in place.  The ECI Area</w:t>
      </w:r>
      <w:r w:rsidR="00543354">
        <w:t xml:space="preserve"> staff</w:t>
      </w:r>
      <w:r w:rsidRPr="00DD0986">
        <w:t xml:space="preserve"> participate</w:t>
      </w:r>
      <w:r w:rsidR="00543354">
        <w:t>s in the meetings of these c</w:t>
      </w:r>
      <w:r w:rsidRPr="00DD0986">
        <w:t>ouncils as a means to network with other community providers, and to share information and updates regarding ECI.</w:t>
      </w:r>
    </w:p>
    <w:p w:rsidR="002431F3" w:rsidRDefault="002431F3" w:rsidP="00785199">
      <w:pPr>
        <w:pStyle w:val="ListParagraph"/>
        <w:ind w:left="0"/>
        <w:rPr>
          <w:b/>
          <w:i/>
        </w:rPr>
      </w:pPr>
    </w:p>
    <w:p w:rsidR="00846814" w:rsidRPr="00E458B8" w:rsidRDefault="001A0F6D" w:rsidP="00785199">
      <w:pPr>
        <w:pStyle w:val="ListParagraph"/>
        <w:ind w:left="0"/>
      </w:pPr>
      <w:r w:rsidRPr="00785199">
        <w:rPr>
          <w:b/>
          <w:i/>
        </w:rPr>
        <w:t xml:space="preserve">Children’s </w:t>
      </w:r>
      <w:r w:rsidR="00846814" w:rsidRPr="00785199">
        <w:rPr>
          <w:b/>
          <w:i/>
        </w:rPr>
        <w:t>Integrated Data System</w:t>
      </w:r>
      <w:r w:rsidR="00846814">
        <w:rPr>
          <w:b/>
        </w:rPr>
        <w:t xml:space="preserve"> </w:t>
      </w:r>
      <w:r w:rsidR="00785199">
        <w:t xml:space="preserve">- </w:t>
      </w:r>
      <w:r w:rsidR="00A138A1">
        <w:t>BooSt staff have</w:t>
      </w:r>
      <w:r w:rsidR="00846814" w:rsidRPr="00E458B8">
        <w:t xml:space="preserve"> been engaged in the work of the Early Childhood Integrated Data System project of ECI. </w:t>
      </w:r>
      <w:r w:rsidR="00A138A1">
        <w:t>If successful t</w:t>
      </w:r>
      <w:r>
        <w:t>his project</w:t>
      </w:r>
      <w:r w:rsidR="00846814" w:rsidRPr="00E458B8">
        <w:t xml:space="preserve"> will be able to co</w:t>
      </w:r>
      <w:r>
        <w:t>llect and analyze</w:t>
      </w:r>
      <w:r w:rsidR="00846814" w:rsidRPr="00E458B8">
        <w:t xml:space="preserve"> the data gathered by multiple </w:t>
      </w:r>
      <w:r>
        <w:t>service providers</w:t>
      </w:r>
      <w:r w:rsidR="00846814" w:rsidRPr="00E458B8">
        <w:t xml:space="preserve"> </w:t>
      </w:r>
      <w:r>
        <w:t>and</w:t>
      </w:r>
      <w:r w:rsidR="00846814" w:rsidRPr="00E458B8">
        <w:t xml:space="preserve"> </w:t>
      </w:r>
      <w:r w:rsidR="00A138A1">
        <w:t>provide date on which</w:t>
      </w:r>
      <w:r w:rsidR="00846814" w:rsidRPr="00E458B8">
        <w:t xml:space="preserve"> programs are having the most impact in children being able to succeed in school.</w:t>
      </w:r>
    </w:p>
    <w:p w:rsidR="00921528" w:rsidRPr="00E22B6C" w:rsidRDefault="00921528" w:rsidP="005A0497">
      <w:r>
        <w:rPr>
          <w:b/>
          <w:i/>
        </w:rPr>
        <w:t xml:space="preserve">Iowa State University </w:t>
      </w:r>
      <w:r w:rsidRPr="00CA2B66">
        <w:rPr>
          <w:b/>
          <w:i/>
        </w:rPr>
        <w:t>Exten</w:t>
      </w:r>
      <w:r w:rsidR="00CA2B66">
        <w:rPr>
          <w:b/>
          <w:i/>
        </w:rPr>
        <w:t>s</w:t>
      </w:r>
      <w:r w:rsidRPr="00CA2B66">
        <w:rPr>
          <w:b/>
          <w:i/>
        </w:rPr>
        <w:t>ion</w:t>
      </w:r>
      <w:r>
        <w:rPr>
          <w:b/>
          <w:i/>
        </w:rPr>
        <w:t xml:space="preserve"> - </w:t>
      </w:r>
      <w:r>
        <w:t>provides educ</w:t>
      </w:r>
      <w:r w:rsidR="001915D1">
        <w:t xml:space="preserve">ation and information for Boone </w:t>
      </w:r>
      <w:r>
        <w:t>and Story counties in central Iowa</w:t>
      </w:r>
      <w:r w:rsidRPr="006C690C">
        <w:t>.</w:t>
      </w:r>
      <w:r>
        <w:t xml:space="preserve">  ISU Extension provides training and supports </w:t>
      </w:r>
      <w:r w:rsidR="0002158A">
        <w:t xml:space="preserve">for </w:t>
      </w:r>
      <w:r>
        <w:t>human service and citizen endeavors.</w:t>
      </w:r>
      <w:r w:rsidRPr="006C690C">
        <w:t xml:space="preserve">  </w:t>
      </w:r>
    </w:p>
    <w:p w:rsidR="0052700D" w:rsidRPr="00E22B6C" w:rsidRDefault="0052700D" w:rsidP="005A0497">
      <w:smartTag w:uri="urn:schemas-microsoft-com:office:smarttags" w:element="stockticker">
        <w:r>
          <w:rPr>
            <w:b/>
            <w:i/>
          </w:rPr>
          <w:t>SAFE</w:t>
        </w:r>
      </w:smartTag>
      <w:r>
        <w:rPr>
          <w:b/>
          <w:i/>
        </w:rPr>
        <w:t xml:space="preserve"> (Substance Abuse Free Environments) </w:t>
      </w:r>
      <w:r>
        <w:t>was established in Boone County in 1991 as a coalition invested in the safety and well being of the people of the community focused on increasing awareness of and prevention of substance abuse and related problems.</w:t>
      </w:r>
      <w:r w:rsidRPr="006C690C">
        <w:t xml:space="preserve">  </w:t>
      </w:r>
    </w:p>
    <w:p w:rsidR="008D2B20" w:rsidRDefault="008D2B20" w:rsidP="005A0497">
      <w:smartTag w:uri="urn:schemas-microsoft-com:office:smarttags" w:element="place">
        <w:smartTag w:uri="urn:schemas-microsoft-com:office:smarttags" w:element="PlaceName">
          <w:r w:rsidRPr="00E82E16">
            <w:rPr>
              <w:b/>
              <w:i/>
            </w:rPr>
            <w:t>Story</w:t>
          </w:r>
        </w:smartTag>
        <w:r w:rsidRPr="00E82E16">
          <w:rPr>
            <w:b/>
            <w:i/>
          </w:rPr>
          <w:t xml:space="preserve"> </w:t>
        </w:r>
        <w:smartTag w:uri="urn:schemas-microsoft-com:office:smarttags" w:element="PlaceName">
          <w:r w:rsidRPr="00E82E16">
            <w:rPr>
              <w:b/>
              <w:i/>
            </w:rPr>
            <w:t>County</w:t>
          </w:r>
        </w:smartTag>
      </w:smartTag>
      <w:r w:rsidRPr="00E82E16">
        <w:rPr>
          <w:b/>
          <w:i/>
        </w:rPr>
        <w:t xml:space="preserve"> Analysis of Social Services and Evaluation Team (ASSET)</w:t>
      </w:r>
      <w:r w:rsidRPr="00861301">
        <w:t xml:space="preserve"> - ASSET is a planning and funding system in </w:t>
      </w:r>
      <w:smartTag w:uri="urn:schemas-microsoft-com:office:smarttags" w:element="place">
        <w:smartTag w:uri="urn:schemas-microsoft-com:office:smarttags" w:element="PlaceName">
          <w:r w:rsidRPr="00861301">
            <w:t>Story</w:t>
          </w:r>
        </w:smartTag>
        <w:r w:rsidRPr="00861301">
          <w:t xml:space="preserve"> </w:t>
        </w:r>
        <w:smartTag w:uri="urn:schemas-microsoft-com:office:smarttags" w:element="PlaceName">
          <w:r w:rsidRPr="00861301">
            <w:t>County</w:t>
          </w:r>
        </w:smartTag>
      </w:smartTag>
      <w:r w:rsidRPr="00861301">
        <w:t>.  ASSET is a collaborative effort of the City of Ames, Story County, United Way of Story County, Iowa State University's Student</w:t>
      </w:r>
      <w:r w:rsidR="00A138A1">
        <w:t xml:space="preserve"> Government</w:t>
      </w:r>
      <w:r w:rsidRPr="00861301">
        <w:t xml:space="preserve">, and </w:t>
      </w:r>
      <w:r w:rsidR="00A138A1">
        <w:t>Central Iowa Community Services</w:t>
      </w:r>
      <w:r w:rsidRPr="00861301">
        <w:t>.  To enhance collaborative planning, ECI Area updates will be provided at ASSET meetings as requested regarding funding priorities and funding allocation decisions of the ECI Area Board.  There will also be reciprocal sharing of referrals of programs/services to consider for funding support, and requests for detail on funds allocated through either the ECI Area or the ASSET process during funding application processes.</w:t>
      </w:r>
      <w:r w:rsidR="001E0F49">
        <w:t xml:space="preserve">  Community plan and ECI Area priorities updates will be shared with the ASSET Board annually.</w:t>
      </w:r>
    </w:p>
    <w:p w:rsidR="00846814" w:rsidRPr="00861301" w:rsidRDefault="00A138A1" w:rsidP="005A0497">
      <w:r>
        <w:rPr>
          <w:b/>
          <w:i/>
        </w:rPr>
        <w:t>Ames</w:t>
      </w:r>
      <w:r w:rsidR="00846814">
        <w:rPr>
          <w:b/>
          <w:i/>
        </w:rPr>
        <w:t xml:space="preserve"> Chamber of Commerce</w:t>
      </w:r>
      <w:r w:rsidR="00846814">
        <w:t xml:space="preserve"> </w:t>
      </w:r>
      <w:r w:rsidR="001B1663">
        <w:t xml:space="preserve">– The </w:t>
      </w:r>
      <w:r w:rsidR="00846814">
        <w:t>BooSt ECI</w:t>
      </w:r>
      <w:r w:rsidR="001B1663">
        <w:t xml:space="preserve"> Area</w:t>
      </w:r>
      <w:r w:rsidR="00846814">
        <w:t xml:space="preserve"> joined the chamber in order to explore ways to collaborate with local businesses on finding ways to address the needs of families with young children that impact businesses such as the need for childcare.</w:t>
      </w:r>
    </w:p>
    <w:p w:rsidR="008D2B20" w:rsidRDefault="008D2B20" w:rsidP="005A0497">
      <w:r w:rsidRPr="00E82E16">
        <w:rPr>
          <w:b/>
          <w:i/>
        </w:rPr>
        <w:t>Story County Quality of Life Alliance</w:t>
      </w:r>
      <w:r w:rsidRPr="00E82E16">
        <w:t xml:space="preserve"> - This is a Story County based initiative of various stakeholders that have partnered to conduct countywide community needs assessments since 2000.  Representatives in this process have included United Way of Story County, Mary Greeley Medical Center, I</w:t>
      </w:r>
      <w:r>
        <w:t xml:space="preserve">owa </w:t>
      </w:r>
      <w:r w:rsidRPr="00E82E16">
        <w:t>S</w:t>
      </w:r>
      <w:r>
        <w:t xml:space="preserve">tate </w:t>
      </w:r>
      <w:r w:rsidRPr="00E82E16">
        <w:t>U</w:t>
      </w:r>
      <w:r>
        <w:t>niversity</w:t>
      </w:r>
      <w:r w:rsidRPr="00E82E16">
        <w:t xml:space="preserve">, Lutheran Services in Iowa, </w:t>
      </w:r>
      <w:r w:rsidR="009B2249">
        <w:t>YSS</w:t>
      </w:r>
      <w:r w:rsidRPr="00E82E16">
        <w:t xml:space="preserve">, Mid Iowa Community Action, Story County Community Services, </w:t>
      </w:r>
      <w:r w:rsidR="00A138A1">
        <w:t>MGMC Home Health Services</w:t>
      </w:r>
      <w:r w:rsidRPr="00E82E16">
        <w:t xml:space="preserve">/Story County Public Health, </w:t>
      </w:r>
      <w:r w:rsidR="008B0D60">
        <w:t>and BooSt Together for Children</w:t>
      </w:r>
      <w:r w:rsidRPr="00E82E16">
        <w:t xml:space="preserve">.  Results of the latest </w:t>
      </w:r>
      <w:r w:rsidR="00C068F1">
        <w:t>assessment were released in 2015</w:t>
      </w:r>
      <w:r w:rsidRPr="00E82E16">
        <w:t xml:space="preserve">.  </w:t>
      </w:r>
      <w:r w:rsidR="001E0F49">
        <w:t>Community Plan updates and ECI Area priorities will be included in the ongoing efforts of this c</w:t>
      </w:r>
      <w:r w:rsidR="002B76A4">
        <w:t>ommunity planning collaborative</w:t>
      </w:r>
      <w:r w:rsidRPr="00E82E16">
        <w:t xml:space="preserve">.  </w:t>
      </w:r>
      <w:r w:rsidR="002B76A4">
        <w:t>Discussio</w:t>
      </w:r>
      <w:r w:rsidR="00C068F1">
        <w:t>ns are underway to plan the 2019</w:t>
      </w:r>
      <w:r w:rsidR="002B76A4">
        <w:t xml:space="preserve"> needs assessment.</w:t>
      </w:r>
    </w:p>
    <w:p w:rsidR="008D2B20" w:rsidRDefault="008D2B20" w:rsidP="005A0497">
      <w:r>
        <w:rPr>
          <w:b/>
          <w:i/>
        </w:rPr>
        <w:t xml:space="preserve">Story County Juvenile Justice Committee </w:t>
      </w:r>
      <w:r>
        <w:t xml:space="preserve">- This lunch and learn series </w:t>
      </w:r>
      <w:r w:rsidR="002B76A4">
        <w:t xml:space="preserve">is </w:t>
      </w:r>
      <w:r>
        <w:t xml:space="preserve">coordinated by </w:t>
      </w:r>
      <w:r w:rsidR="009B2249">
        <w:t>YSS</w:t>
      </w:r>
      <w:r>
        <w:t xml:space="preserve"> and Lutheran Services in Iowa for Story County community service providers with an interest in issues affecting children and youth through age 18 years meet.  The group meets monthly to hear educational presentations on relevant topics and to network.  </w:t>
      </w:r>
    </w:p>
    <w:p w:rsidR="008D2B20" w:rsidRPr="008B0D60" w:rsidRDefault="008D2B20" w:rsidP="005A0497">
      <w:r w:rsidRPr="0039411E">
        <w:rPr>
          <w:b/>
          <w:i/>
        </w:rPr>
        <w:t>United Way</w:t>
      </w:r>
      <w:r w:rsidRPr="0039411E">
        <w:t xml:space="preserve"> - There are two United Way organizations in the </w:t>
      </w:r>
      <w:r w:rsidRPr="008B0D60">
        <w:t>BooSt ECI</w:t>
      </w:r>
      <w:r w:rsidR="001C5082">
        <w:t xml:space="preserve"> Area,</w:t>
      </w:r>
      <w:r w:rsidR="00736D54">
        <w:t xml:space="preserve"> </w:t>
      </w:r>
      <w:r w:rsidR="001C5082">
        <w:t xml:space="preserve">United Way of Boone County </w:t>
      </w:r>
      <w:r w:rsidRPr="0039411E">
        <w:t xml:space="preserve">and United Way of Story County.  Each organization is a source of </w:t>
      </w:r>
      <w:r w:rsidR="00A138A1">
        <w:t>funding</w:t>
      </w:r>
      <w:r w:rsidRPr="0039411E">
        <w:t xml:space="preserve"> and community planning</w:t>
      </w:r>
      <w:r w:rsidR="00A138A1">
        <w:t xml:space="preserve"> and</w:t>
      </w:r>
      <w:r w:rsidRPr="0039411E">
        <w:t xml:space="preserve"> leadership.  Funds through the local United Way organizations are</w:t>
      </w:r>
      <w:r w:rsidR="009B2249">
        <w:t xml:space="preserve"> primarily </w:t>
      </w:r>
      <w:r w:rsidRPr="0039411E">
        <w:t>targeted to support various human service</w:t>
      </w:r>
      <w:r w:rsidR="00736D54">
        <w:t>s</w:t>
      </w:r>
      <w:r w:rsidRPr="0039411E">
        <w:t xml:space="preserve"> related programs and services.  </w:t>
      </w:r>
    </w:p>
    <w:p w:rsidR="002B76A4" w:rsidRDefault="002B76A4" w:rsidP="005A0497">
      <w:r>
        <w:br w:type="page"/>
      </w:r>
    </w:p>
    <w:p w:rsidR="00596924" w:rsidRPr="00785199" w:rsidRDefault="00930DAE" w:rsidP="00785199">
      <w:pPr>
        <w:shd w:val="clear" w:color="auto" w:fill="B8CCE4" w:themeFill="accent1" w:themeFillTint="66"/>
        <w:jc w:val="center"/>
        <w:rPr>
          <w:sz w:val="28"/>
          <w:szCs w:val="28"/>
        </w:rPr>
      </w:pPr>
      <w:r w:rsidRPr="00785199">
        <w:rPr>
          <w:sz w:val="28"/>
          <w:szCs w:val="28"/>
        </w:rPr>
        <w:t xml:space="preserve">Section </w:t>
      </w:r>
      <w:r w:rsidR="002B053B" w:rsidRPr="00785199">
        <w:rPr>
          <w:sz w:val="28"/>
          <w:szCs w:val="28"/>
        </w:rPr>
        <w:t>V</w:t>
      </w:r>
    </w:p>
    <w:p w:rsidR="002B053B" w:rsidRPr="00785199" w:rsidRDefault="002B053B" w:rsidP="00785199">
      <w:pPr>
        <w:shd w:val="clear" w:color="auto" w:fill="B8CCE4" w:themeFill="accent1" w:themeFillTint="66"/>
        <w:jc w:val="center"/>
        <w:rPr>
          <w:sz w:val="28"/>
          <w:szCs w:val="28"/>
        </w:rPr>
      </w:pPr>
      <w:r w:rsidRPr="00785199">
        <w:rPr>
          <w:sz w:val="28"/>
          <w:szCs w:val="28"/>
        </w:rPr>
        <w:t>Re</w:t>
      </w:r>
      <w:r w:rsidR="006F53E9" w:rsidRPr="00785199">
        <w:rPr>
          <w:sz w:val="28"/>
          <w:szCs w:val="28"/>
        </w:rPr>
        <w:t xml:space="preserve">view </w:t>
      </w:r>
      <w:smartTag w:uri="urn:schemas-microsoft-com:office:smarttags" w:element="stockticker">
        <w:r w:rsidR="006F53E9" w:rsidRPr="00785199">
          <w:rPr>
            <w:sz w:val="28"/>
            <w:szCs w:val="28"/>
          </w:rPr>
          <w:t>and</w:t>
        </w:r>
      </w:smartTag>
      <w:r w:rsidR="006F53E9" w:rsidRPr="00785199">
        <w:rPr>
          <w:sz w:val="28"/>
          <w:szCs w:val="28"/>
        </w:rPr>
        <w:t xml:space="preserve"> Evaluation</w:t>
      </w:r>
    </w:p>
    <w:p w:rsidR="00852901" w:rsidRDefault="00A371DC" w:rsidP="005A0497">
      <w:r w:rsidRPr="00A371DC">
        <w:t>Review and Evaluation Methods</w:t>
      </w:r>
      <w:r w:rsidR="001C5082">
        <w:t xml:space="preserve">: </w:t>
      </w:r>
      <w:r w:rsidR="001B1663">
        <w:t xml:space="preserve">The </w:t>
      </w:r>
      <w:r w:rsidR="00B2045C" w:rsidRPr="001C5082">
        <w:t xml:space="preserve">BooSt </w:t>
      </w:r>
      <w:r w:rsidR="001B1663">
        <w:t>ECI Area</w:t>
      </w:r>
      <w:r w:rsidR="00B2045C">
        <w:t xml:space="preserve"> </w:t>
      </w:r>
      <w:r w:rsidR="001C5082">
        <w:t>uses</w:t>
      </w:r>
      <w:r w:rsidR="00B2045C">
        <w:t xml:space="preserve"> the following review and evaluation methods to monitor effectiveness of the community plan, the board,</w:t>
      </w:r>
      <w:r w:rsidR="001C5082">
        <w:t xml:space="preserve"> staff</w:t>
      </w:r>
      <w:r w:rsidR="00B2045C">
        <w:t xml:space="preserve"> and funded programs and services:</w:t>
      </w:r>
    </w:p>
    <w:p w:rsidR="00263B8C" w:rsidRDefault="00263B8C" w:rsidP="005A0497">
      <w:pPr>
        <w:rPr>
          <w:b/>
          <w:i/>
        </w:rPr>
      </w:pPr>
      <w:r>
        <w:rPr>
          <w:b/>
          <w:i/>
        </w:rPr>
        <w:t xml:space="preserve">Annual Community Plan Review </w:t>
      </w:r>
      <w:r w:rsidR="0002158A">
        <w:rPr>
          <w:b/>
          <w:i/>
        </w:rPr>
        <w:t>-</w:t>
      </w:r>
      <w:r>
        <w:t xml:space="preserve"> Members of the </w:t>
      </w:r>
      <w:r w:rsidRPr="000F2F04">
        <w:t xml:space="preserve">BooSt </w:t>
      </w:r>
      <w:r w:rsidR="00543354">
        <w:t xml:space="preserve">ECI Area </w:t>
      </w:r>
      <w:r w:rsidR="000F2F04">
        <w:t>B</w:t>
      </w:r>
      <w:r w:rsidR="00543354">
        <w:t>oard</w:t>
      </w:r>
      <w:r>
        <w:t xml:space="preserve"> review the community plan on an annual basis.  This review include</w:t>
      </w:r>
      <w:r w:rsidR="00543354">
        <w:t>s</w:t>
      </w:r>
      <w:r>
        <w:t xml:space="preserve"> analysis of updated data and updated community assessm</w:t>
      </w:r>
      <w:r w:rsidR="00543354">
        <w:t>ents that may impact the early c</w:t>
      </w:r>
      <w:r>
        <w:t xml:space="preserve">hildhood system. </w:t>
      </w:r>
    </w:p>
    <w:p w:rsidR="00263B8C" w:rsidRPr="00263B8C" w:rsidRDefault="00263B8C" w:rsidP="005A0497">
      <w:pPr>
        <w:rPr>
          <w:b/>
          <w:i/>
        </w:rPr>
      </w:pPr>
      <w:r>
        <w:rPr>
          <w:b/>
          <w:i/>
        </w:rPr>
        <w:t xml:space="preserve">Site Visits </w:t>
      </w:r>
      <w:r w:rsidR="00AA596E">
        <w:t>-</w:t>
      </w:r>
      <w:r>
        <w:t xml:space="preserve"> </w:t>
      </w:r>
      <w:r w:rsidR="000E4F56">
        <w:t>Designated ECI Area staff will conduct at least an annual site visit with funded programs and services contractors.  A standard site visit monitoring tool shall be used for site visits, and information gathered during site visits will be compiled for review by the ECI Area Board.</w:t>
      </w:r>
    </w:p>
    <w:p w:rsidR="002C29C2" w:rsidRPr="003420EF" w:rsidRDefault="00263B8C" w:rsidP="005A0497">
      <w:pPr>
        <w:rPr>
          <w:b/>
          <w:i/>
        </w:rPr>
      </w:pPr>
      <w:r>
        <w:rPr>
          <w:b/>
          <w:i/>
        </w:rPr>
        <w:t>Progress Reports</w:t>
      </w:r>
      <w:r w:rsidRPr="00263B8C">
        <w:t xml:space="preserve"> </w:t>
      </w:r>
      <w:r w:rsidR="00AA596E">
        <w:t>-</w:t>
      </w:r>
      <w:r w:rsidR="0054134D">
        <w:t xml:space="preserve"> Quarter</w:t>
      </w:r>
      <w:bookmarkStart w:id="2" w:name="_GoBack"/>
      <w:bookmarkEnd w:id="2"/>
      <w:r w:rsidR="0054134D">
        <w:t>ly</w:t>
      </w:r>
      <w:r w:rsidR="00543354">
        <w:t xml:space="preserve"> progress reports </w:t>
      </w:r>
      <w:r w:rsidR="0054134D">
        <w:t xml:space="preserve">and DAISEY reports </w:t>
      </w:r>
      <w:r w:rsidR="00543354">
        <w:t xml:space="preserve">are </w:t>
      </w:r>
      <w:r w:rsidR="00F815AA">
        <w:t xml:space="preserve">used to gather data and program updates from funded program/service providers.  </w:t>
      </w:r>
      <w:r w:rsidR="000E4F56">
        <w:t>ECI staff summarize</w:t>
      </w:r>
      <w:r w:rsidR="0054134D">
        <w:t>s</w:t>
      </w:r>
      <w:r w:rsidR="000E4F56">
        <w:t xml:space="preserve"> progress report information for review by the ECI Area Board.  </w:t>
      </w:r>
      <w:r w:rsidR="00F815AA">
        <w:t xml:space="preserve">Progress reports gathered at the end of </w:t>
      </w:r>
      <w:r w:rsidR="003420EF">
        <w:t xml:space="preserve">the fourth quarter </w:t>
      </w:r>
      <w:r w:rsidR="00F815AA">
        <w:t xml:space="preserve">will be </w:t>
      </w:r>
      <w:r w:rsidR="003420EF" w:rsidRPr="00CA2B66">
        <w:t>use</w:t>
      </w:r>
      <w:r w:rsidR="00CA2B66" w:rsidRPr="00CA2B66">
        <w:t>d</w:t>
      </w:r>
      <w:r w:rsidR="003420EF">
        <w:t xml:space="preserve"> to provide required program performance measures data in the ECI Area annual report, which is due to the State ECI Office on or before September 15 </w:t>
      </w:r>
      <w:r w:rsidR="003420EF" w:rsidRPr="00CA2B66">
        <w:t>of</w:t>
      </w:r>
      <w:r w:rsidR="003420EF">
        <w:t xml:space="preserve"> the close of each fiscal year.    </w:t>
      </w:r>
    </w:p>
    <w:p w:rsidR="002C29C2" w:rsidRPr="00057A15" w:rsidRDefault="00F815AA" w:rsidP="005A0497">
      <w:pPr>
        <w:rPr>
          <w:b/>
          <w:i/>
        </w:rPr>
      </w:pPr>
      <w:r>
        <w:rPr>
          <w:b/>
          <w:i/>
        </w:rPr>
        <w:t xml:space="preserve">Program/Service Presentations </w:t>
      </w:r>
      <w:r w:rsidR="00AA596E">
        <w:t>-</w:t>
      </w:r>
      <w:r>
        <w:t xml:space="preserve"> The </w:t>
      </w:r>
      <w:r w:rsidRPr="00213580">
        <w:t>BooSt</w:t>
      </w:r>
      <w:r>
        <w:t xml:space="preserve"> ECI Area Board </w:t>
      </w:r>
      <w:r w:rsidR="0054134D">
        <w:t xml:space="preserve">invites </w:t>
      </w:r>
      <w:r>
        <w:t>contractors to provide updates rega</w:t>
      </w:r>
      <w:r w:rsidR="006C40A6">
        <w:t>rding their programs</w:t>
      </w:r>
      <w:r>
        <w:t xml:space="preserve"> during board </w:t>
      </w:r>
      <w:r w:rsidRPr="00CA2B66">
        <w:t>meeting</w:t>
      </w:r>
      <w:r w:rsidR="00CA2B66" w:rsidRPr="00CA2B66">
        <w:t>s</w:t>
      </w:r>
      <w:r>
        <w:t xml:space="preserve">.  </w:t>
      </w:r>
    </w:p>
    <w:p w:rsidR="000E504B" w:rsidRPr="00057A15" w:rsidRDefault="000E504B" w:rsidP="005A0497">
      <w:pPr>
        <w:rPr>
          <w:b/>
          <w:i/>
        </w:rPr>
      </w:pPr>
      <w:r>
        <w:rPr>
          <w:b/>
          <w:i/>
        </w:rPr>
        <w:t>Meeting Evaluations</w:t>
      </w:r>
      <w:r w:rsidR="00AA596E">
        <w:t xml:space="preserve"> -</w:t>
      </w:r>
      <w:r w:rsidR="001B1663">
        <w:t xml:space="preserve"> The</w:t>
      </w:r>
      <w:r>
        <w:t xml:space="preserve"> </w:t>
      </w:r>
      <w:r w:rsidRPr="00213580">
        <w:t xml:space="preserve">BooSt </w:t>
      </w:r>
      <w:r>
        <w:t xml:space="preserve">ECI Area Board will </w:t>
      </w:r>
      <w:r w:rsidR="007B0DA9">
        <w:t xml:space="preserve">periodically review its </w:t>
      </w:r>
      <w:r>
        <w:t>meeting</w:t>
      </w:r>
      <w:r w:rsidR="007B0DA9">
        <w:t>s</w:t>
      </w:r>
      <w:r>
        <w:t xml:space="preserve"> to assess issues related to the process of meetings.  Board officers and designated staff will review feedback to make changes for future meetings.   </w:t>
      </w:r>
    </w:p>
    <w:p w:rsidR="00057A15" w:rsidRDefault="00057A15" w:rsidP="005A0497">
      <w:pPr>
        <w:rPr>
          <w:b/>
          <w:i/>
        </w:rPr>
      </w:pPr>
      <w:r>
        <w:rPr>
          <w:b/>
          <w:i/>
        </w:rPr>
        <w:t xml:space="preserve">Annual Evaluation </w:t>
      </w:r>
      <w:r w:rsidR="00AA596E">
        <w:t>-</w:t>
      </w:r>
      <w:r>
        <w:t xml:space="preserve"> </w:t>
      </w:r>
      <w:r w:rsidR="000E504B">
        <w:t xml:space="preserve">The </w:t>
      </w:r>
      <w:r w:rsidR="001B1663" w:rsidRPr="00213580">
        <w:t xml:space="preserve">BooSt </w:t>
      </w:r>
      <w:r w:rsidR="001B1663">
        <w:t xml:space="preserve">ECI Area </w:t>
      </w:r>
      <w:r w:rsidR="000E504B">
        <w:t>Board will implement an annual self evaluation using board evaluation tools</w:t>
      </w:r>
      <w:r w:rsidR="001B1663">
        <w:t xml:space="preserve"> provided online</w:t>
      </w:r>
      <w:r w:rsidR="000E504B">
        <w:t xml:space="preserve">.  In addition, community partners and funded program/service providers will be asked </w:t>
      </w:r>
      <w:r w:rsidR="00695F64">
        <w:t xml:space="preserve">annually </w:t>
      </w:r>
      <w:r w:rsidR="000E504B">
        <w:t>to evaluate the ECI Area initiative activities and Board function.  A board committee will review board self evaluations, and community partner and provider evaluations,</w:t>
      </w:r>
      <w:r w:rsidR="00695F64">
        <w:t xml:space="preserve"> and develop an improvement plan based upon the assessment results which shall encompass a board professional development plan.  </w:t>
      </w:r>
    </w:p>
    <w:p w:rsidR="003C5B95" w:rsidRDefault="00057A15" w:rsidP="005A0497">
      <w:r>
        <w:rPr>
          <w:b/>
          <w:i/>
        </w:rPr>
        <w:t>ECI Area Staff Evaluations</w:t>
      </w:r>
      <w:r w:rsidR="00AA596E">
        <w:t xml:space="preserve"> -</w:t>
      </w:r>
      <w:r>
        <w:t xml:space="preserve"> </w:t>
      </w:r>
      <w:r w:rsidR="00F94090">
        <w:t xml:space="preserve">The </w:t>
      </w:r>
      <w:r w:rsidR="001B1663" w:rsidRPr="00213580">
        <w:t xml:space="preserve">BooSt </w:t>
      </w:r>
      <w:r w:rsidR="001B1663">
        <w:t xml:space="preserve">ECI Area </w:t>
      </w:r>
      <w:r w:rsidR="00F94090">
        <w:t>Board will implement an annual evaluation of staff members using current</w:t>
      </w:r>
      <w:r w:rsidR="001B1663">
        <w:t xml:space="preserve"> the performance evaluation format provided by Story Co</w:t>
      </w:r>
      <w:r w:rsidR="00F94090">
        <w:t xml:space="preserve">.  In addition, community partners and funded program/service providers will be asked annually to provide input on the effectiveness of ECI Area staff in accomplishing expected roles and responsibilities.  A board committee will review performance evaluation information </w:t>
      </w:r>
      <w:r w:rsidR="00C17AAE">
        <w:t xml:space="preserve">and </w:t>
      </w:r>
      <w:r w:rsidR="00F94090">
        <w:t>develop staff improvement plan</w:t>
      </w:r>
      <w:r w:rsidR="00C17AAE">
        <w:t>s</w:t>
      </w:r>
      <w:r w:rsidR="00F94090">
        <w:t xml:space="preserve">.  </w:t>
      </w:r>
    </w:p>
    <w:p w:rsidR="003C5B95" w:rsidRDefault="003C5B95">
      <w:pPr>
        <w:tabs>
          <w:tab w:val="clear" w:pos="900"/>
        </w:tabs>
        <w:spacing w:before="0" w:after="0"/>
      </w:pPr>
    </w:p>
    <w:sectPr w:rsidR="003C5B95" w:rsidSect="001C5082">
      <w:footerReference w:type="default" r:id="rId13"/>
      <w:footerReference w:type="first" r:id="rId14"/>
      <w:pgSz w:w="12240" w:h="15840"/>
      <w:pgMar w:top="1008" w:right="1152" w:bottom="1008"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D31035" w15:done="0"/>
  <w15:commentEx w15:paraId="15218883" w15:done="0"/>
  <w15:commentEx w15:paraId="427ED977" w15:done="0"/>
  <w15:commentEx w15:paraId="176975D6" w15:done="0"/>
  <w15:commentEx w15:paraId="43DA50C8" w15:done="0"/>
  <w15:commentEx w15:paraId="2959F1C8" w15:done="0"/>
  <w15:commentEx w15:paraId="7B45BA5D" w15:done="0"/>
  <w15:commentEx w15:paraId="0D69A777" w15:done="0"/>
  <w15:commentEx w15:paraId="50059FA2" w15:done="0"/>
  <w15:commentEx w15:paraId="224E2B5D" w15:done="0"/>
  <w15:commentEx w15:paraId="1935E043" w15:done="0"/>
  <w15:commentEx w15:paraId="43E5F830" w15:done="0"/>
  <w15:commentEx w15:paraId="472399A5" w15:done="0"/>
  <w15:commentEx w15:paraId="74211A26" w15:done="0"/>
  <w15:commentEx w15:paraId="428217F9" w15:done="0"/>
  <w15:commentEx w15:paraId="08EE9713" w15:done="0"/>
  <w15:commentEx w15:paraId="69B8CE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745" w:rsidRDefault="00E06745" w:rsidP="005A0497">
      <w:r>
        <w:separator/>
      </w:r>
    </w:p>
  </w:endnote>
  <w:endnote w:type="continuationSeparator" w:id="0">
    <w:p w:rsidR="00E06745" w:rsidRDefault="00E06745" w:rsidP="005A0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roid Sans">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6832"/>
      <w:docPartObj>
        <w:docPartGallery w:val="Page Numbers (Bottom of Page)"/>
        <w:docPartUnique/>
      </w:docPartObj>
    </w:sdtPr>
    <w:sdtContent>
      <w:p w:rsidR="00E06745" w:rsidRDefault="00E06745" w:rsidP="005A0497">
        <w:pPr>
          <w:pStyle w:val="Footer"/>
        </w:pPr>
        <w:r>
          <w:rPr>
            <w:noProof/>
          </w:rPr>
          <w:fldChar w:fldCharType="begin"/>
        </w:r>
        <w:r>
          <w:rPr>
            <w:noProof/>
          </w:rPr>
          <w:instrText xml:space="preserve"> PAGE   \* MERGEFORMAT </w:instrText>
        </w:r>
        <w:r>
          <w:rPr>
            <w:noProof/>
          </w:rPr>
          <w:fldChar w:fldCharType="separate"/>
        </w:r>
        <w:r w:rsidR="000779A1">
          <w:rPr>
            <w:noProof/>
          </w:rPr>
          <w:t>1</w:t>
        </w:r>
        <w:r>
          <w:rPr>
            <w:noProof/>
          </w:rPr>
          <w:fldChar w:fldCharType="end"/>
        </w:r>
      </w:p>
    </w:sdtContent>
  </w:sdt>
  <w:p w:rsidR="00E06745" w:rsidRPr="00294D5B" w:rsidRDefault="00E06745" w:rsidP="005A0497">
    <w:pPr>
      <w:pStyle w:val="Footer"/>
      <w:rPr>
        <w:rStyle w:val="PageNumber"/>
      </w:rPr>
    </w:pPr>
    <w:r>
      <w:rPr>
        <w:rStyle w:val="PageNumber"/>
      </w:rPr>
      <w:t>BooSt ECI Community Plan, revised 10/11/18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45" w:rsidRDefault="00E06745" w:rsidP="005A0497">
    <w:pPr>
      <w:pStyle w:val="Footer"/>
      <w:rPr>
        <w:rStyle w:val="PageNumber"/>
      </w:rPr>
    </w:pPr>
    <w:r w:rsidRPr="00736960">
      <w:rPr>
        <w:rStyle w:val="PageNumber"/>
      </w:rPr>
      <w:t xml:space="preserve">BooSt Together for Children (Boone and </w:t>
    </w:r>
    <w:smartTag w:uri="urn:schemas-microsoft-com:office:smarttags" w:element="place">
      <w:smartTag w:uri="urn:schemas-microsoft-com:office:smarttags" w:element="PlaceName">
        <w:r w:rsidRPr="00736960">
          <w:rPr>
            <w:rStyle w:val="PageNumber"/>
          </w:rPr>
          <w:t>Story</w:t>
        </w:r>
      </w:smartTag>
      <w:r w:rsidRPr="00736960">
        <w:rPr>
          <w:rStyle w:val="PageNumber"/>
        </w:rPr>
        <w:t xml:space="preserve"> </w:t>
      </w:r>
      <w:smartTag w:uri="urn:schemas-microsoft-com:office:smarttags" w:element="PlaceName">
        <w:r w:rsidRPr="00736960">
          <w:rPr>
            <w:rStyle w:val="PageNumber"/>
          </w:rPr>
          <w:t>Counties</w:t>
        </w:r>
      </w:smartTag>
    </w:smartTag>
    <w:r w:rsidRPr="00736960">
      <w:rPr>
        <w:rStyle w:val="PageNumber"/>
      </w:rPr>
      <w:t xml:space="preserve"> Early Childhood </w:t>
    </w:r>
    <w:smartTag w:uri="urn:schemas-microsoft-com:office:smarttags" w:element="State">
      <w:smartTag w:uri="urn:schemas-microsoft-com:office:smarttags" w:element="place">
        <w:r w:rsidRPr="00736960">
          <w:rPr>
            <w:rStyle w:val="PageNumber"/>
          </w:rPr>
          <w:t>Iowa</w:t>
        </w:r>
      </w:smartTag>
    </w:smartTag>
    <w:r w:rsidRPr="00736960">
      <w:rPr>
        <w:rStyle w:val="PageNumber"/>
      </w:rPr>
      <w:t xml:space="preserve"> Area) - Community Plan</w:t>
    </w:r>
    <w:r w:rsidRPr="00736960">
      <w:rPr>
        <w:rStyle w:val="PageNumber"/>
      </w:rPr>
      <w:tab/>
      <w:t xml:space="preserve"> Page | </w:t>
    </w:r>
    <w:r w:rsidRPr="00736960">
      <w:rPr>
        <w:rStyle w:val="PageNumber"/>
      </w:rPr>
      <w:fldChar w:fldCharType="begin"/>
    </w:r>
    <w:r w:rsidRPr="00736960">
      <w:rPr>
        <w:rStyle w:val="PageNumber"/>
      </w:rPr>
      <w:instrText xml:space="preserve"> PAGE   \* MERGEFORMAT </w:instrText>
    </w:r>
    <w:r w:rsidRPr="00736960">
      <w:rPr>
        <w:rStyle w:val="PageNumber"/>
      </w:rPr>
      <w:fldChar w:fldCharType="separate"/>
    </w:r>
    <w:r w:rsidRPr="00381695">
      <w:rPr>
        <w:rStyle w:val="PageNumber"/>
        <w:b/>
        <w:noProof/>
      </w:rPr>
      <w:t>10</w:t>
    </w:r>
    <w:r w:rsidRPr="00736960">
      <w:rPr>
        <w:rStyle w:val="PageNumber"/>
      </w:rPr>
      <w:fldChar w:fldCharType="end"/>
    </w:r>
  </w:p>
  <w:p w:rsidR="00E06745" w:rsidRPr="00736960" w:rsidRDefault="00E06745" w:rsidP="005A0497">
    <w:pPr>
      <w:pStyle w:val="Footer"/>
      <w:rPr>
        <w:rStyle w:val="PageNumber"/>
        <w:rFonts w:cs="Arial"/>
      </w:rPr>
    </w:pPr>
    <w:proofErr w:type="gramStart"/>
    <w:r w:rsidRPr="00381695">
      <w:rPr>
        <w:rStyle w:val="PageNumber"/>
        <w:highlight w:val="yellow"/>
      </w:rPr>
      <w:t>Approved ??</w:t>
    </w:r>
    <w:proofErr w:type="gramEnd"/>
    <w:r w:rsidRPr="00381695">
      <w:rPr>
        <w:rStyle w:val="PageNumber"/>
        <w:highlight w:val="yellow"/>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745" w:rsidRDefault="00E06745" w:rsidP="005A0497">
      <w:r>
        <w:separator/>
      </w:r>
    </w:p>
  </w:footnote>
  <w:footnote w:type="continuationSeparator" w:id="0">
    <w:p w:rsidR="00E06745" w:rsidRDefault="00E06745" w:rsidP="005A0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35pt;height:11.35pt" o:bullet="t">
        <v:imagedata r:id="rId1" o:title="mso12"/>
      </v:shape>
    </w:pict>
  </w:numPicBullet>
  <w:abstractNum w:abstractNumId="0">
    <w:nsid w:val="00171E6A"/>
    <w:multiLevelType w:val="hybridMultilevel"/>
    <w:tmpl w:val="C1AEE9FE"/>
    <w:lvl w:ilvl="0" w:tplc="42341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C0BFC"/>
    <w:multiLevelType w:val="hybridMultilevel"/>
    <w:tmpl w:val="82A0D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A72AE"/>
    <w:multiLevelType w:val="hybridMultilevel"/>
    <w:tmpl w:val="B4C0CDF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E4794D"/>
    <w:multiLevelType w:val="hybridMultilevel"/>
    <w:tmpl w:val="8B023098"/>
    <w:lvl w:ilvl="0" w:tplc="2EF6126A">
      <w:start w:val="1"/>
      <w:numFmt w:val="bullet"/>
      <w:lvlText w:val=""/>
      <w:lvlJc w:val="left"/>
      <w:pPr>
        <w:tabs>
          <w:tab w:val="num" w:pos="360"/>
        </w:tabs>
        <w:ind w:left="360" w:hanging="36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FB3E42"/>
    <w:multiLevelType w:val="hybridMultilevel"/>
    <w:tmpl w:val="3806B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720F91"/>
    <w:multiLevelType w:val="multilevel"/>
    <w:tmpl w:val="E0CA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694F90"/>
    <w:multiLevelType w:val="hybridMultilevel"/>
    <w:tmpl w:val="08643AAC"/>
    <w:lvl w:ilvl="0" w:tplc="2EF6126A">
      <w:start w:val="1"/>
      <w:numFmt w:val="bullet"/>
      <w:lvlText w:val=""/>
      <w:lvlJc w:val="left"/>
      <w:pPr>
        <w:tabs>
          <w:tab w:val="num" w:pos="360"/>
        </w:tabs>
        <w:ind w:left="360" w:hanging="36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AC3768"/>
    <w:multiLevelType w:val="hybridMultilevel"/>
    <w:tmpl w:val="C09CD784"/>
    <w:lvl w:ilvl="0" w:tplc="2EF6126A">
      <w:start w:val="1"/>
      <w:numFmt w:val="bullet"/>
      <w:lvlText w:val=""/>
      <w:lvlJc w:val="left"/>
      <w:pPr>
        <w:tabs>
          <w:tab w:val="num" w:pos="360"/>
        </w:tabs>
        <w:ind w:left="360" w:hanging="36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510FA5"/>
    <w:multiLevelType w:val="hybridMultilevel"/>
    <w:tmpl w:val="C71C008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11A35C14"/>
    <w:multiLevelType w:val="hybridMultilevel"/>
    <w:tmpl w:val="7CAE838E"/>
    <w:lvl w:ilvl="0" w:tplc="2EF6126A">
      <w:start w:val="1"/>
      <w:numFmt w:val="bullet"/>
      <w:lvlText w:val=""/>
      <w:lvlJc w:val="left"/>
      <w:pPr>
        <w:tabs>
          <w:tab w:val="num" w:pos="360"/>
        </w:tabs>
        <w:ind w:left="360" w:hanging="36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4F1DC7"/>
    <w:multiLevelType w:val="hybridMultilevel"/>
    <w:tmpl w:val="71485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D4C9E"/>
    <w:multiLevelType w:val="hybridMultilevel"/>
    <w:tmpl w:val="1E10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5219F6"/>
    <w:multiLevelType w:val="hybridMultilevel"/>
    <w:tmpl w:val="696CD55A"/>
    <w:lvl w:ilvl="0" w:tplc="2EF6126A">
      <w:start w:val="1"/>
      <w:numFmt w:val="bullet"/>
      <w:lvlText w:val=""/>
      <w:lvlJc w:val="left"/>
      <w:pPr>
        <w:tabs>
          <w:tab w:val="num" w:pos="360"/>
        </w:tabs>
        <w:ind w:left="360" w:hanging="36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590D04"/>
    <w:multiLevelType w:val="hybridMultilevel"/>
    <w:tmpl w:val="2C623AA8"/>
    <w:lvl w:ilvl="0" w:tplc="2EF6126A">
      <w:start w:val="1"/>
      <w:numFmt w:val="bullet"/>
      <w:lvlText w:val=""/>
      <w:lvlJc w:val="left"/>
      <w:pPr>
        <w:tabs>
          <w:tab w:val="num" w:pos="360"/>
        </w:tabs>
        <w:ind w:left="360" w:hanging="36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894AAA"/>
    <w:multiLevelType w:val="hybridMultilevel"/>
    <w:tmpl w:val="3A16BEF2"/>
    <w:lvl w:ilvl="0" w:tplc="4B544254">
      <w:start w:val="1"/>
      <w:numFmt w:val="bullet"/>
      <w:lvlText w:val="o"/>
      <w:lvlJc w:val="left"/>
      <w:pPr>
        <w:tabs>
          <w:tab w:val="num" w:pos="1080"/>
        </w:tabs>
        <w:ind w:left="1080" w:hanging="360"/>
      </w:pPr>
      <w:rPr>
        <w:rFonts w:ascii="Courier New" w:hAnsi="Courier New" w:hint="default"/>
        <w:sz w:val="1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DEB70CD"/>
    <w:multiLevelType w:val="hybridMultilevel"/>
    <w:tmpl w:val="7AFC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9D1277"/>
    <w:multiLevelType w:val="hybridMultilevel"/>
    <w:tmpl w:val="D1A42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55C5A"/>
    <w:multiLevelType w:val="hybridMultilevel"/>
    <w:tmpl w:val="76307B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C0C42"/>
    <w:multiLevelType w:val="hybridMultilevel"/>
    <w:tmpl w:val="EB7A5F1E"/>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nsid w:val="35AE0CE6"/>
    <w:multiLevelType w:val="hybridMultilevel"/>
    <w:tmpl w:val="ED6E51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011A37"/>
    <w:multiLevelType w:val="hybridMultilevel"/>
    <w:tmpl w:val="AD8EA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BE501C"/>
    <w:multiLevelType w:val="hybridMultilevel"/>
    <w:tmpl w:val="20C8E15C"/>
    <w:lvl w:ilvl="0" w:tplc="2EF6126A">
      <w:start w:val="1"/>
      <w:numFmt w:val="bullet"/>
      <w:lvlText w:val=""/>
      <w:lvlJc w:val="left"/>
      <w:pPr>
        <w:tabs>
          <w:tab w:val="num" w:pos="360"/>
        </w:tabs>
        <w:ind w:left="360" w:hanging="36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4B4036"/>
    <w:multiLevelType w:val="hybridMultilevel"/>
    <w:tmpl w:val="140C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F2846"/>
    <w:multiLevelType w:val="hybridMultilevel"/>
    <w:tmpl w:val="63D8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9B4B7B"/>
    <w:multiLevelType w:val="hybridMultilevel"/>
    <w:tmpl w:val="F9B66E4E"/>
    <w:lvl w:ilvl="0" w:tplc="2EF6126A">
      <w:start w:val="1"/>
      <w:numFmt w:val="bullet"/>
      <w:lvlText w:val=""/>
      <w:lvlJc w:val="left"/>
      <w:pPr>
        <w:tabs>
          <w:tab w:val="num" w:pos="360"/>
        </w:tabs>
        <w:ind w:left="360" w:hanging="36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72001D"/>
    <w:multiLevelType w:val="hybridMultilevel"/>
    <w:tmpl w:val="F8BE2F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A2047D"/>
    <w:multiLevelType w:val="hybridMultilevel"/>
    <w:tmpl w:val="ADAC0DF8"/>
    <w:lvl w:ilvl="0" w:tplc="2EF6126A">
      <w:start w:val="1"/>
      <w:numFmt w:val="bullet"/>
      <w:lvlText w:val=""/>
      <w:lvlJc w:val="left"/>
      <w:pPr>
        <w:tabs>
          <w:tab w:val="num" w:pos="360"/>
        </w:tabs>
        <w:ind w:left="360" w:hanging="360"/>
      </w:pPr>
      <w:rPr>
        <w:rFonts w:ascii="Symbol" w:hAnsi="Symbol" w:hint="default"/>
        <w:sz w:val="1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7">
    <w:nsid w:val="518A59C6"/>
    <w:multiLevelType w:val="hybridMultilevel"/>
    <w:tmpl w:val="A19692BC"/>
    <w:lvl w:ilvl="0" w:tplc="2EF6126A">
      <w:start w:val="1"/>
      <w:numFmt w:val="bullet"/>
      <w:lvlText w:val=""/>
      <w:lvlJc w:val="left"/>
      <w:pPr>
        <w:tabs>
          <w:tab w:val="num" w:pos="360"/>
        </w:tabs>
        <w:ind w:left="360" w:hanging="36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BD3320"/>
    <w:multiLevelType w:val="hybridMultilevel"/>
    <w:tmpl w:val="33D6F6F2"/>
    <w:lvl w:ilvl="0" w:tplc="2EF6126A">
      <w:start w:val="1"/>
      <w:numFmt w:val="bullet"/>
      <w:lvlText w:val=""/>
      <w:lvlJc w:val="left"/>
      <w:pPr>
        <w:tabs>
          <w:tab w:val="num" w:pos="360"/>
        </w:tabs>
        <w:ind w:left="360" w:hanging="36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793AC9"/>
    <w:multiLevelType w:val="hybridMultilevel"/>
    <w:tmpl w:val="DADE1904"/>
    <w:lvl w:ilvl="0" w:tplc="2EF6126A">
      <w:start w:val="1"/>
      <w:numFmt w:val="bullet"/>
      <w:lvlText w:val=""/>
      <w:lvlJc w:val="left"/>
      <w:pPr>
        <w:tabs>
          <w:tab w:val="num" w:pos="360"/>
        </w:tabs>
        <w:ind w:left="360" w:hanging="36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490828"/>
    <w:multiLevelType w:val="hybridMultilevel"/>
    <w:tmpl w:val="1D00FC18"/>
    <w:lvl w:ilvl="0" w:tplc="2EF6126A">
      <w:start w:val="1"/>
      <w:numFmt w:val="bullet"/>
      <w:lvlText w:val=""/>
      <w:lvlJc w:val="left"/>
      <w:pPr>
        <w:tabs>
          <w:tab w:val="num" w:pos="360"/>
        </w:tabs>
        <w:ind w:left="360" w:hanging="36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E751FA"/>
    <w:multiLevelType w:val="hybridMultilevel"/>
    <w:tmpl w:val="770A1480"/>
    <w:lvl w:ilvl="0" w:tplc="2EF6126A">
      <w:start w:val="1"/>
      <w:numFmt w:val="bullet"/>
      <w:lvlText w:val=""/>
      <w:lvlJc w:val="left"/>
      <w:pPr>
        <w:tabs>
          <w:tab w:val="num" w:pos="420"/>
        </w:tabs>
        <w:ind w:left="420" w:hanging="360"/>
      </w:pPr>
      <w:rPr>
        <w:rFonts w:ascii="Symbol" w:hAnsi="Symbol" w:hint="default"/>
        <w:sz w:val="1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5DEE2FDA"/>
    <w:multiLevelType w:val="hybridMultilevel"/>
    <w:tmpl w:val="D03049FE"/>
    <w:lvl w:ilvl="0" w:tplc="2EF6126A">
      <w:start w:val="1"/>
      <w:numFmt w:val="bullet"/>
      <w:lvlText w:val=""/>
      <w:lvlJc w:val="left"/>
      <w:pPr>
        <w:tabs>
          <w:tab w:val="num" w:pos="360"/>
        </w:tabs>
        <w:ind w:left="360" w:hanging="360"/>
      </w:pPr>
      <w:rPr>
        <w:rFonts w:ascii="Symbol" w:hAnsi="Symbol" w:hint="default"/>
        <w:sz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5F5486"/>
    <w:multiLevelType w:val="hybridMultilevel"/>
    <w:tmpl w:val="72F6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D57F7C"/>
    <w:multiLevelType w:val="hybridMultilevel"/>
    <w:tmpl w:val="5D585A1C"/>
    <w:lvl w:ilvl="0" w:tplc="2EF6126A">
      <w:start w:val="1"/>
      <w:numFmt w:val="bullet"/>
      <w:lvlText w:val=""/>
      <w:lvlJc w:val="left"/>
      <w:pPr>
        <w:tabs>
          <w:tab w:val="num" w:pos="420"/>
        </w:tabs>
        <w:ind w:left="420" w:hanging="360"/>
      </w:pPr>
      <w:rPr>
        <w:rFonts w:ascii="Symbol" w:hAnsi="Symbol" w:hint="default"/>
        <w:sz w:val="12"/>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6663400C"/>
    <w:multiLevelType w:val="hybridMultilevel"/>
    <w:tmpl w:val="621C51BE"/>
    <w:lvl w:ilvl="0" w:tplc="168C3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1911DA"/>
    <w:multiLevelType w:val="hybridMultilevel"/>
    <w:tmpl w:val="0340FD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B0978EA"/>
    <w:multiLevelType w:val="hybridMultilevel"/>
    <w:tmpl w:val="A0FE9E9A"/>
    <w:lvl w:ilvl="0" w:tplc="3CA4E6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BF6657"/>
    <w:multiLevelType w:val="hybridMultilevel"/>
    <w:tmpl w:val="3460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05634"/>
    <w:multiLevelType w:val="hybridMultilevel"/>
    <w:tmpl w:val="AE8A69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2E324E"/>
    <w:multiLevelType w:val="hybridMultilevel"/>
    <w:tmpl w:val="495E2D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0C4B79"/>
    <w:multiLevelType w:val="hybridMultilevel"/>
    <w:tmpl w:val="3B26B234"/>
    <w:lvl w:ilvl="0" w:tplc="BA40A3BC">
      <w:start w:val="1"/>
      <w:numFmt w:val="bullet"/>
      <w:lvlText w:val=""/>
      <w:lvlJc w:val="left"/>
      <w:pPr>
        <w:tabs>
          <w:tab w:val="num" w:pos="420"/>
        </w:tabs>
        <w:ind w:left="420" w:hanging="360"/>
      </w:pPr>
      <w:rPr>
        <w:rFonts w:ascii="Symbol" w:hAnsi="Symbol" w:hint="default"/>
        <w:b w:val="0"/>
        <w:i w:val="0"/>
        <w:sz w:val="2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nsid w:val="79FF0BA2"/>
    <w:multiLevelType w:val="hybridMultilevel"/>
    <w:tmpl w:val="E3E0970C"/>
    <w:lvl w:ilvl="0" w:tplc="2EF6126A">
      <w:start w:val="1"/>
      <w:numFmt w:val="bullet"/>
      <w:lvlText w:val=""/>
      <w:lvlJc w:val="left"/>
      <w:pPr>
        <w:tabs>
          <w:tab w:val="num" w:pos="360"/>
        </w:tabs>
        <w:ind w:left="360" w:hanging="360"/>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D16EB2"/>
    <w:multiLevelType w:val="hybridMultilevel"/>
    <w:tmpl w:val="1F0C561A"/>
    <w:lvl w:ilvl="0" w:tplc="1C762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2"/>
  </w:num>
  <w:num w:numId="3">
    <w:abstractNumId w:val="24"/>
  </w:num>
  <w:num w:numId="4">
    <w:abstractNumId w:val="21"/>
  </w:num>
  <w:num w:numId="5">
    <w:abstractNumId w:val="3"/>
  </w:num>
  <w:num w:numId="6">
    <w:abstractNumId w:val="41"/>
  </w:num>
  <w:num w:numId="7">
    <w:abstractNumId w:val="2"/>
  </w:num>
  <w:num w:numId="8">
    <w:abstractNumId w:val="25"/>
  </w:num>
  <w:num w:numId="9">
    <w:abstractNumId w:val="5"/>
  </w:num>
  <w:num w:numId="10">
    <w:abstractNumId w:val="22"/>
  </w:num>
  <w:num w:numId="11">
    <w:abstractNumId w:val="31"/>
  </w:num>
  <w:num w:numId="12">
    <w:abstractNumId w:val="30"/>
  </w:num>
  <w:num w:numId="13">
    <w:abstractNumId w:val="28"/>
  </w:num>
  <w:num w:numId="14">
    <w:abstractNumId w:val="13"/>
  </w:num>
  <w:num w:numId="15">
    <w:abstractNumId w:val="26"/>
  </w:num>
  <w:num w:numId="16">
    <w:abstractNumId w:val="29"/>
  </w:num>
  <w:num w:numId="17">
    <w:abstractNumId w:val="7"/>
  </w:num>
  <w:num w:numId="18">
    <w:abstractNumId w:val="12"/>
  </w:num>
  <w:num w:numId="19">
    <w:abstractNumId w:val="6"/>
  </w:num>
  <w:num w:numId="20">
    <w:abstractNumId w:val="27"/>
  </w:num>
  <w:num w:numId="21">
    <w:abstractNumId w:val="9"/>
  </w:num>
  <w:num w:numId="22">
    <w:abstractNumId w:val="14"/>
  </w:num>
  <w:num w:numId="23">
    <w:abstractNumId w:val="34"/>
  </w:num>
  <w:num w:numId="24">
    <w:abstractNumId w:val="11"/>
  </w:num>
  <w:num w:numId="25">
    <w:abstractNumId w:val="36"/>
  </w:num>
  <w:num w:numId="26">
    <w:abstractNumId w:val="20"/>
  </w:num>
  <w:num w:numId="27">
    <w:abstractNumId w:val="16"/>
  </w:num>
  <w:num w:numId="28">
    <w:abstractNumId w:val="8"/>
  </w:num>
  <w:num w:numId="29">
    <w:abstractNumId w:val="40"/>
  </w:num>
  <w:num w:numId="30">
    <w:abstractNumId w:val="17"/>
  </w:num>
  <w:num w:numId="31">
    <w:abstractNumId w:val="18"/>
  </w:num>
  <w:num w:numId="32">
    <w:abstractNumId w:val="19"/>
  </w:num>
  <w:num w:numId="33">
    <w:abstractNumId w:val="35"/>
  </w:num>
  <w:num w:numId="34">
    <w:abstractNumId w:val="37"/>
  </w:num>
  <w:num w:numId="35">
    <w:abstractNumId w:val="43"/>
  </w:num>
  <w:num w:numId="36">
    <w:abstractNumId w:val="0"/>
  </w:num>
  <w:num w:numId="37">
    <w:abstractNumId w:val="39"/>
  </w:num>
  <w:num w:numId="38">
    <w:abstractNumId w:val="23"/>
  </w:num>
  <w:num w:numId="39">
    <w:abstractNumId w:val="33"/>
  </w:num>
  <w:num w:numId="40">
    <w:abstractNumId w:val="38"/>
  </w:num>
  <w:num w:numId="41">
    <w:abstractNumId w:val="15"/>
  </w:num>
  <w:num w:numId="42">
    <w:abstractNumId w:val="10"/>
  </w:num>
  <w:num w:numId="43">
    <w:abstractNumId w:val="4"/>
  </w:num>
  <w:num w:numId="4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 Kresse">
    <w15:presenceInfo w15:providerId="AD" w15:userId="S-1-5-21-1762765023-2094883123-1319848876-11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5C107B"/>
    <w:rsid w:val="0000593F"/>
    <w:rsid w:val="00005F28"/>
    <w:rsid w:val="00006FED"/>
    <w:rsid w:val="00010E48"/>
    <w:rsid w:val="00010EFE"/>
    <w:rsid w:val="00011C40"/>
    <w:rsid w:val="00011E2D"/>
    <w:rsid w:val="00012C1A"/>
    <w:rsid w:val="00015DB9"/>
    <w:rsid w:val="00016FB8"/>
    <w:rsid w:val="00020316"/>
    <w:rsid w:val="000203D7"/>
    <w:rsid w:val="0002158A"/>
    <w:rsid w:val="000221F8"/>
    <w:rsid w:val="00022B84"/>
    <w:rsid w:val="000251B5"/>
    <w:rsid w:val="00026006"/>
    <w:rsid w:val="000268A2"/>
    <w:rsid w:val="00031013"/>
    <w:rsid w:val="00031289"/>
    <w:rsid w:val="00032EE6"/>
    <w:rsid w:val="00035D1C"/>
    <w:rsid w:val="00036701"/>
    <w:rsid w:val="00036BAD"/>
    <w:rsid w:val="0004179C"/>
    <w:rsid w:val="00041E39"/>
    <w:rsid w:val="0004213C"/>
    <w:rsid w:val="00042C78"/>
    <w:rsid w:val="00042C90"/>
    <w:rsid w:val="00044A6D"/>
    <w:rsid w:val="00046DD1"/>
    <w:rsid w:val="000470FC"/>
    <w:rsid w:val="00051668"/>
    <w:rsid w:val="00053131"/>
    <w:rsid w:val="00054731"/>
    <w:rsid w:val="00055FDB"/>
    <w:rsid w:val="000562E7"/>
    <w:rsid w:val="00056BAB"/>
    <w:rsid w:val="00057A15"/>
    <w:rsid w:val="0006278C"/>
    <w:rsid w:val="00062E7F"/>
    <w:rsid w:val="000634E5"/>
    <w:rsid w:val="00064719"/>
    <w:rsid w:val="00064CDB"/>
    <w:rsid w:val="00070624"/>
    <w:rsid w:val="0007358B"/>
    <w:rsid w:val="0007493D"/>
    <w:rsid w:val="000750EE"/>
    <w:rsid w:val="000751EC"/>
    <w:rsid w:val="000779A1"/>
    <w:rsid w:val="0008112C"/>
    <w:rsid w:val="00081D92"/>
    <w:rsid w:val="0008244A"/>
    <w:rsid w:val="000836B5"/>
    <w:rsid w:val="00083E37"/>
    <w:rsid w:val="000844F6"/>
    <w:rsid w:val="000847E7"/>
    <w:rsid w:val="00084FA0"/>
    <w:rsid w:val="000868F3"/>
    <w:rsid w:val="0008708E"/>
    <w:rsid w:val="0008719B"/>
    <w:rsid w:val="000878D1"/>
    <w:rsid w:val="00087DDA"/>
    <w:rsid w:val="00090B9A"/>
    <w:rsid w:val="00091D5B"/>
    <w:rsid w:val="00094D07"/>
    <w:rsid w:val="00095E1F"/>
    <w:rsid w:val="00097B7A"/>
    <w:rsid w:val="00097C7C"/>
    <w:rsid w:val="000A0068"/>
    <w:rsid w:val="000A0189"/>
    <w:rsid w:val="000A0576"/>
    <w:rsid w:val="000A2FDC"/>
    <w:rsid w:val="000A3771"/>
    <w:rsid w:val="000A4048"/>
    <w:rsid w:val="000A63BB"/>
    <w:rsid w:val="000A648C"/>
    <w:rsid w:val="000A6AAC"/>
    <w:rsid w:val="000A76B2"/>
    <w:rsid w:val="000B0451"/>
    <w:rsid w:val="000B15B0"/>
    <w:rsid w:val="000B3245"/>
    <w:rsid w:val="000B3495"/>
    <w:rsid w:val="000B7D6E"/>
    <w:rsid w:val="000C1E31"/>
    <w:rsid w:val="000C2182"/>
    <w:rsid w:val="000D5588"/>
    <w:rsid w:val="000D6DEC"/>
    <w:rsid w:val="000D754E"/>
    <w:rsid w:val="000E056A"/>
    <w:rsid w:val="000E0F47"/>
    <w:rsid w:val="000E21E1"/>
    <w:rsid w:val="000E33E8"/>
    <w:rsid w:val="000E4192"/>
    <w:rsid w:val="000E4F56"/>
    <w:rsid w:val="000E504B"/>
    <w:rsid w:val="000F2F04"/>
    <w:rsid w:val="000F308C"/>
    <w:rsid w:val="000F30B7"/>
    <w:rsid w:val="000F37B0"/>
    <w:rsid w:val="000F4056"/>
    <w:rsid w:val="000F69CB"/>
    <w:rsid w:val="0010126C"/>
    <w:rsid w:val="001012E4"/>
    <w:rsid w:val="00102393"/>
    <w:rsid w:val="0010249F"/>
    <w:rsid w:val="00102AAA"/>
    <w:rsid w:val="00105CEF"/>
    <w:rsid w:val="00112ED7"/>
    <w:rsid w:val="00113C8E"/>
    <w:rsid w:val="00115FFE"/>
    <w:rsid w:val="0012331E"/>
    <w:rsid w:val="00130014"/>
    <w:rsid w:val="0013432A"/>
    <w:rsid w:val="00135E8D"/>
    <w:rsid w:val="00137C83"/>
    <w:rsid w:val="00140992"/>
    <w:rsid w:val="00140CF4"/>
    <w:rsid w:val="001457F7"/>
    <w:rsid w:val="0014596C"/>
    <w:rsid w:val="00145B90"/>
    <w:rsid w:val="001466A9"/>
    <w:rsid w:val="00151A27"/>
    <w:rsid w:val="001542C3"/>
    <w:rsid w:val="00154B7D"/>
    <w:rsid w:val="00157CAD"/>
    <w:rsid w:val="001604A8"/>
    <w:rsid w:val="00160A45"/>
    <w:rsid w:val="00161062"/>
    <w:rsid w:val="00161476"/>
    <w:rsid w:val="0016169A"/>
    <w:rsid w:val="00161843"/>
    <w:rsid w:val="001626BC"/>
    <w:rsid w:val="00164BAB"/>
    <w:rsid w:val="00167892"/>
    <w:rsid w:val="001714F9"/>
    <w:rsid w:val="00172A20"/>
    <w:rsid w:val="00174155"/>
    <w:rsid w:val="00177B1D"/>
    <w:rsid w:val="00180A31"/>
    <w:rsid w:val="0018201A"/>
    <w:rsid w:val="00191026"/>
    <w:rsid w:val="001915D1"/>
    <w:rsid w:val="00191A0F"/>
    <w:rsid w:val="00195EBE"/>
    <w:rsid w:val="00197E3B"/>
    <w:rsid w:val="001A0A6B"/>
    <w:rsid w:val="001A0F6D"/>
    <w:rsid w:val="001A1B75"/>
    <w:rsid w:val="001A1BF4"/>
    <w:rsid w:val="001A1EAE"/>
    <w:rsid w:val="001A23A6"/>
    <w:rsid w:val="001A3DDD"/>
    <w:rsid w:val="001A4B45"/>
    <w:rsid w:val="001A5407"/>
    <w:rsid w:val="001A7F5F"/>
    <w:rsid w:val="001B1663"/>
    <w:rsid w:val="001B231E"/>
    <w:rsid w:val="001B28E8"/>
    <w:rsid w:val="001B60AA"/>
    <w:rsid w:val="001B7EA1"/>
    <w:rsid w:val="001C152E"/>
    <w:rsid w:val="001C447C"/>
    <w:rsid w:val="001C4B9B"/>
    <w:rsid w:val="001C5082"/>
    <w:rsid w:val="001C7CAA"/>
    <w:rsid w:val="001D238E"/>
    <w:rsid w:val="001D6045"/>
    <w:rsid w:val="001E0018"/>
    <w:rsid w:val="001E0F49"/>
    <w:rsid w:val="001E157A"/>
    <w:rsid w:val="001E1879"/>
    <w:rsid w:val="001E2A50"/>
    <w:rsid w:val="001F088D"/>
    <w:rsid w:val="001F3845"/>
    <w:rsid w:val="001F51ED"/>
    <w:rsid w:val="0020147F"/>
    <w:rsid w:val="00205A9F"/>
    <w:rsid w:val="00207899"/>
    <w:rsid w:val="0021090F"/>
    <w:rsid w:val="00210B8D"/>
    <w:rsid w:val="00210C16"/>
    <w:rsid w:val="00210FBB"/>
    <w:rsid w:val="00212B5B"/>
    <w:rsid w:val="00213580"/>
    <w:rsid w:val="00213678"/>
    <w:rsid w:val="00213CA9"/>
    <w:rsid w:val="00216B23"/>
    <w:rsid w:val="00217394"/>
    <w:rsid w:val="00220B8E"/>
    <w:rsid w:val="002235E8"/>
    <w:rsid w:val="00223695"/>
    <w:rsid w:val="00223D86"/>
    <w:rsid w:val="00225330"/>
    <w:rsid w:val="0022578D"/>
    <w:rsid w:val="0022610F"/>
    <w:rsid w:val="00227002"/>
    <w:rsid w:val="002315E5"/>
    <w:rsid w:val="002323F4"/>
    <w:rsid w:val="00234A16"/>
    <w:rsid w:val="00236A1D"/>
    <w:rsid w:val="002417F3"/>
    <w:rsid w:val="00242D49"/>
    <w:rsid w:val="002431B0"/>
    <w:rsid w:val="002431F3"/>
    <w:rsid w:val="002466C3"/>
    <w:rsid w:val="002466D8"/>
    <w:rsid w:val="002476F5"/>
    <w:rsid w:val="00250F11"/>
    <w:rsid w:val="00251A3F"/>
    <w:rsid w:val="00252D8B"/>
    <w:rsid w:val="00261C9B"/>
    <w:rsid w:val="00261CD1"/>
    <w:rsid w:val="0026353B"/>
    <w:rsid w:val="00263B8C"/>
    <w:rsid w:val="0026736A"/>
    <w:rsid w:val="0027177C"/>
    <w:rsid w:val="002733A8"/>
    <w:rsid w:val="002818B7"/>
    <w:rsid w:val="002867CB"/>
    <w:rsid w:val="00291958"/>
    <w:rsid w:val="00293269"/>
    <w:rsid w:val="002933D3"/>
    <w:rsid w:val="00294D5B"/>
    <w:rsid w:val="00295F29"/>
    <w:rsid w:val="002A59E6"/>
    <w:rsid w:val="002A6771"/>
    <w:rsid w:val="002B053B"/>
    <w:rsid w:val="002B0545"/>
    <w:rsid w:val="002B0CF6"/>
    <w:rsid w:val="002B0EAB"/>
    <w:rsid w:val="002B2D1E"/>
    <w:rsid w:val="002B6427"/>
    <w:rsid w:val="002B76A4"/>
    <w:rsid w:val="002C29C2"/>
    <w:rsid w:val="002C3587"/>
    <w:rsid w:val="002C38FA"/>
    <w:rsid w:val="002C466B"/>
    <w:rsid w:val="002C46A2"/>
    <w:rsid w:val="002D1193"/>
    <w:rsid w:val="002D5AA6"/>
    <w:rsid w:val="002D659B"/>
    <w:rsid w:val="002D7BC9"/>
    <w:rsid w:val="002D7E82"/>
    <w:rsid w:val="002E1553"/>
    <w:rsid w:val="002E2CD7"/>
    <w:rsid w:val="002E4265"/>
    <w:rsid w:val="002E7CFD"/>
    <w:rsid w:val="002F0612"/>
    <w:rsid w:val="002F21A0"/>
    <w:rsid w:val="002F25FF"/>
    <w:rsid w:val="002F36EE"/>
    <w:rsid w:val="002F3D1F"/>
    <w:rsid w:val="002F535F"/>
    <w:rsid w:val="00300CC4"/>
    <w:rsid w:val="00301D85"/>
    <w:rsid w:val="0030445C"/>
    <w:rsid w:val="003047C1"/>
    <w:rsid w:val="003065A2"/>
    <w:rsid w:val="00311681"/>
    <w:rsid w:val="003118D1"/>
    <w:rsid w:val="00311F1F"/>
    <w:rsid w:val="003137FA"/>
    <w:rsid w:val="00313F3F"/>
    <w:rsid w:val="0031469C"/>
    <w:rsid w:val="00316253"/>
    <w:rsid w:val="00316F14"/>
    <w:rsid w:val="00317750"/>
    <w:rsid w:val="00323F7D"/>
    <w:rsid w:val="00326918"/>
    <w:rsid w:val="003277A6"/>
    <w:rsid w:val="0033006A"/>
    <w:rsid w:val="003310A1"/>
    <w:rsid w:val="003310A5"/>
    <w:rsid w:val="00332822"/>
    <w:rsid w:val="00333CC4"/>
    <w:rsid w:val="00335FC8"/>
    <w:rsid w:val="00336079"/>
    <w:rsid w:val="0033678F"/>
    <w:rsid w:val="00340370"/>
    <w:rsid w:val="003406F2"/>
    <w:rsid w:val="00340736"/>
    <w:rsid w:val="00340A17"/>
    <w:rsid w:val="00340E12"/>
    <w:rsid w:val="003420EF"/>
    <w:rsid w:val="0034239F"/>
    <w:rsid w:val="00342A85"/>
    <w:rsid w:val="00342AD3"/>
    <w:rsid w:val="0034413F"/>
    <w:rsid w:val="00344897"/>
    <w:rsid w:val="00345A15"/>
    <w:rsid w:val="00345A2C"/>
    <w:rsid w:val="003470BC"/>
    <w:rsid w:val="00350FA1"/>
    <w:rsid w:val="00351B27"/>
    <w:rsid w:val="00354213"/>
    <w:rsid w:val="00356B36"/>
    <w:rsid w:val="00360D0F"/>
    <w:rsid w:val="0036205A"/>
    <w:rsid w:val="003712F4"/>
    <w:rsid w:val="003756FB"/>
    <w:rsid w:val="0037684A"/>
    <w:rsid w:val="00380CEF"/>
    <w:rsid w:val="00380E58"/>
    <w:rsid w:val="00381695"/>
    <w:rsid w:val="003853FE"/>
    <w:rsid w:val="00387239"/>
    <w:rsid w:val="003913E0"/>
    <w:rsid w:val="00391EE6"/>
    <w:rsid w:val="003933A2"/>
    <w:rsid w:val="0039411E"/>
    <w:rsid w:val="003967FC"/>
    <w:rsid w:val="00396E33"/>
    <w:rsid w:val="003A06DC"/>
    <w:rsid w:val="003A0FB2"/>
    <w:rsid w:val="003A4216"/>
    <w:rsid w:val="003A66C3"/>
    <w:rsid w:val="003B19D9"/>
    <w:rsid w:val="003B7959"/>
    <w:rsid w:val="003C2571"/>
    <w:rsid w:val="003C3EC3"/>
    <w:rsid w:val="003C5B95"/>
    <w:rsid w:val="003C6DC9"/>
    <w:rsid w:val="003C74C8"/>
    <w:rsid w:val="003D1582"/>
    <w:rsid w:val="003D17A9"/>
    <w:rsid w:val="003D2114"/>
    <w:rsid w:val="003D22D5"/>
    <w:rsid w:val="003D30D0"/>
    <w:rsid w:val="003D31AC"/>
    <w:rsid w:val="003D5CBF"/>
    <w:rsid w:val="003D64E5"/>
    <w:rsid w:val="003E0CA4"/>
    <w:rsid w:val="003E2183"/>
    <w:rsid w:val="003E25A7"/>
    <w:rsid w:val="003E383E"/>
    <w:rsid w:val="003E651A"/>
    <w:rsid w:val="003E6915"/>
    <w:rsid w:val="003F1C9B"/>
    <w:rsid w:val="003F33E5"/>
    <w:rsid w:val="003F5887"/>
    <w:rsid w:val="003F6E3F"/>
    <w:rsid w:val="004018E5"/>
    <w:rsid w:val="00401A17"/>
    <w:rsid w:val="00401B8B"/>
    <w:rsid w:val="0040299A"/>
    <w:rsid w:val="00402DAE"/>
    <w:rsid w:val="00405758"/>
    <w:rsid w:val="00405F0D"/>
    <w:rsid w:val="00407480"/>
    <w:rsid w:val="00407BDB"/>
    <w:rsid w:val="00410F69"/>
    <w:rsid w:val="00412EC0"/>
    <w:rsid w:val="00414ADF"/>
    <w:rsid w:val="0041531A"/>
    <w:rsid w:val="0041561A"/>
    <w:rsid w:val="0042075A"/>
    <w:rsid w:val="00423272"/>
    <w:rsid w:val="00425E1B"/>
    <w:rsid w:val="00430005"/>
    <w:rsid w:val="00433C42"/>
    <w:rsid w:val="00441EB5"/>
    <w:rsid w:val="00442F01"/>
    <w:rsid w:val="00444923"/>
    <w:rsid w:val="00444D50"/>
    <w:rsid w:val="00445B0B"/>
    <w:rsid w:val="004460B4"/>
    <w:rsid w:val="0044680A"/>
    <w:rsid w:val="004508E0"/>
    <w:rsid w:val="00451CB9"/>
    <w:rsid w:val="00452931"/>
    <w:rsid w:val="004541E9"/>
    <w:rsid w:val="00457016"/>
    <w:rsid w:val="004600D0"/>
    <w:rsid w:val="00461492"/>
    <w:rsid w:val="004619B5"/>
    <w:rsid w:val="004631C8"/>
    <w:rsid w:val="00465493"/>
    <w:rsid w:val="004654C1"/>
    <w:rsid w:val="004719AA"/>
    <w:rsid w:val="004721D2"/>
    <w:rsid w:val="00472601"/>
    <w:rsid w:val="00472A88"/>
    <w:rsid w:val="00473511"/>
    <w:rsid w:val="004751E2"/>
    <w:rsid w:val="004816D2"/>
    <w:rsid w:val="00481A74"/>
    <w:rsid w:val="0048782E"/>
    <w:rsid w:val="00492374"/>
    <w:rsid w:val="004927EC"/>
    <w:rsid w:val="00496D98"/>
    <w:rsid w:val="00497032"/>
    <w:rsid w:val="00497222"/>
    <w:rsid w:val="004A0107"/>
    <w:rsid w:val="004A03E7"/>
    <w:rsid w:val="004A0E87"/>
    <w:rsid w:val="004A27B6"/>
    <w:rsid w:val="004A32F0"/>
    <w:rsid w:val="004A4F09"/>
    <w:rsid w:val="004A6604"/>
    <w:rsid w:val="004A76C5"/>
    <w:rsid w:val="004B2A2C"/>
    <w:rsid w:val="004B348E"/>
    <w:rsid w:val="004B65C9"/>
    <w:rsid w:val="004C097B"/>
    <w:rsid w:val="004C34E0"/>
    <w:rsid w:val="004C3B16"/>
    <w:rsid w:val="004C4081"/>
    <w:rsid w:val="004D05DF"/>
    <w:rsid w:val="004D138F"/>
    <w:rsid w:val="004D1B00"/>
    <w:rsid w:val="004D1B9D"/>
    <w:rsid w:val="004D65FD"/>
    <w:rsid w:val="004D6868"/>
    <w:rsid w:val="004E0AD1"/>
    <w:rsid w:val="004E162F"/>
    <w:rsid w:val="004E2A89"/>
    <w:rsid w:val="004E2FD9"/>
    <w:rsid w:val="004E309B"/>
    <w:rsid w:val="004E51F5"/>
    <w:rsid w:val="004E6C93"/>
    <w:rsid w:val="004F0BC4"/>
    <w:rsid w:val="004F21BC"/>
    <w:rsid w:val="004F2297"/>
    <w:rsid w:val="004F327B"/>
    <w:rsid w:val="004F578D"/>
    <w:rsid w:val="004F5996"/>
    <w:rsid w:val="004F6AE6"/>
    <w:rsid w:val="004F712C"/>
    <w:rsid w:val="0050147B"/>
    <w:rsid w:val="0050313E"/>
    <w:rsid w:val="005049FF"/>
    <w:rsid w:val="00505292"/>
    <w:rsid w:val="00505DC3"/>
    <w:rsid w:val="00506199"/>
    <w:rsid w:val="00506A6E"/>
    <w:rsid w:val="00511496"/>
    <w:rsid w:val="005123B4"/>
    <w:rsid w:val="0051338C"/>
    <w:rsid w:val="00521777"/>
    <w:rsid w:val="00521C4C"/>
    <w:rsid w:val="005256E4"/>
    <w:rsid w:val="0052700D"/>
    <w:rsid w:val="00527A10"/>
    <w:rsid w:val="00527CE3"/>
    <w:rsid w:val="005313EF"/>
    <w:rsid w:val="00536108"/>
    <w:rsid w:val="0054134D"/>
    <w:rsid w:val="0054178B"/>
    <w:rsid w:val="005420E7"/>
    <w:rsid w:val="00543354"/>
    <w:rsid w:val="005459B5"/>
    <w:rsid w:val="005467C1"/>
    <w:rsid w:val="00552B57"/>
    <w:rsid w:val="00552D7F"/>
    <w:rsid w:val="00556EED"/>
    <w:rsid w:val="00557E30"/>
    <w:rsid w:val="00560157"/>
    <w:rsid w:val="0056100F"/>
    <w:rsid w:val="00562CF9"/>
    <w:rsid w:val="005677B2"/>
    <w:rsid w:val="0057363D"/>
    <w:rsid w:val="00575AF9"/>
    <w:rsid w:val="00576C5E"/>
    <w:rsid w:val="00581E82"/>
    <w:rsid w:val="00583454"/>
    <w:rsid w:val="00585C87"/>
    <w:rsid w:val="0059030F"/>
    <w:rsid w:val="005906AA"/>
    <w:rsid w:val="005931CC"/>
    <w:rsid w:val="00594CEF"/>
    <w:rsid w:val="00596924"/>
    <w:rsid w:val="005972EB"/>
    <w:rsid w:val="005A0497"/>
    <w:rsid w:val="005A4BDE"/>
    <w:rsid w:val="005A5D40"/>
    <w:rsid w:val="005A7048"/>
    <w:rsid w:val="005B2387"/>
    <w:rsid w:val="005B38A4"/>
    <w:rsid w:val="005B3EE7"/>
    <w:rsid w:val="005B5D80"/>
    <w:rsid w:val="005C0AF9"/>
    <w:rsid w:val="005C107B"/>
    <w:rsid w:val="005C207C"/>
    <w:rsid w:val="005C2796"/>
    <w:rsid w:val="005C2FBE"/>
    <w:rsid w:val="005C49DE"/>
    <w:rsid w:val="005C4A2F"/>
    <w:rsid w:val="005D0875"/>
    <w:rsid w:val="005D4A05"/>
    <w:rsid w:val="005E16FE"/>
    <w:rsid w:val="005E24F1"/>
    <w:rsid w:val="005E2715"/>
    <w:rsid w:val="005E35E5"/>
    <w:rsid w:val="005E6692"/>
    <w:rsid w:val="005F00F9"/>
    <w:rsid w:val="005F0A10"/>
    <w:rsid w:val="005F156B"/>
    <w:rsid w:val="005F26EC"/>
    <w:rsid w:val="005F392F"/>
    <w:rsid w:val="005F64C7"/>
    <w:rsid w:val="005F77ED"/>
    <w:rsid w:val="006023CB"/>
    <w:rsid w:val="006031CE"/>
    <w:rsid w:val="00603F4B"/>
    <w:rsid w:val="00605D90"/>
    <w:rsid w:val="00607822"/>
    <w:rsid w:val="006109E4"/>
    <w:rsid w:val="006132B3"/>
    <w:rsid w:val="00614676"/>
    <w:rsid w:val="00616A35"/>
    <w:rsid w:val="0061758E"/>
    <w:rsid w:val="00617943"/>
    <w:rsid w:val="00620FF4"/>
    <w:rsid w:val="00623C7D"/>
    <w:rsid w:val="006248C9"/>
    <w:rsid w:val="0062540E"/>
    <w:rsid w:val="006271A9"/>
    <w:rsid w:val="00630EC6"/>
    <w:rsid w:val="00631E93"/>
    <w:rsid w:val="00634313"/>
    <w:rsid w:val="006366BB"/>
    <w:rsid w:val="00640DCE"/>
    <w:rsid w:val="00646AE5"/>
    <w:rsid w:val="00646B1B"/>
    <w:rsid w:val="00647524"/>
    <w:rsid w:val="006479D3"/>
    <w:rsid w:val="00653EF5"/>
    <w:rsid w:val="00660876"/>
    <w:rsid w:val="00665C04"/>
    <w:rsid w:val="00666490"/>
    <w:rsid w:val="006666BD"/>
    <w:rsid w:val="00670641"/>
    <w:rsid w:val="00670C58"/>
    <w:rsid w:val="00671534"/>
    <w:rsid w:val="00673C90"/>
    <w:rsid w:val="00674DCD"/>
    <w:rsid w:val="00675195"/>
    <w:rsid w:val="00675B66"/>
    <w:rsid w:val="00677B47"/>
    <w:rsid w:val="006830BC"/>
    <w:rsid w:val="006842BB"/>
    <w:rsid w:val="0068553C"/>
    <w:rsid w:val="00690031"/>
    <w:rsid w:val="00695CA6"/>
    <w:rsid w:val="00695F64"/>
    <w:rsid w:val="006A00B7"/>
    <w:rsid w:val="006A0C27"/>
    <w:rsid w:val="006A1B1C"/>
    <w:rsid w:val="006A2E13"/>
    <w:rsid w:val="006A3762"/>
    <w:rsid w:val="006A45EB"/>
    <w:rsid w:val="006A5610"/>
    <w:rsid w:val="006A6278"/>
    <w:rsid w:val="006A678B"/>
    <w:rsid w:val="006A6DDD"/>
    <w:rsid w:val="006A7784"/>
    <w:rsid w:val="006B0829"/>
    <w:rsid w:val="006B1DFC"/>
    <w:rsid w:val="006B2097"/>
    <w:rsid w:val="006B2F04"/>
    <w:rsid w:val="006B5EAE"/>
    <w:rsid w:val="006B64AC"/>
    <w:rsid w:val="006C04DF"/>
    <w:rsid w:val="006C1C15"/>
    <w:rsid w:val="006C244C"/>
    <w:rsid w:val="006C29FA"/>
    <w:rsid w:val="006C2B20"/>
    <w:rsid w:val="006C40A6"/>
    <w:rsid w:val="006C690C"/>
    <w:rsid w:val="006C6BAB"/>
    <w:rsid w:val="006D0C56"/>
    <w:rsid w:val="006D1015"/>
    <w:rsid w:val="006D12AD"/>
    <w:rsid w:val="006D1C52"/>
    <w:rsid w:val="006D2DAC"/>
    <w:rsid w:val="006D307F"/>
    <w:rsid w:val="006D4273"/>
    <w:rsid w:val="006D5489"/>
    <w:rsid w:val="006D7531"/>
    <w:rsid w:val="006D75CE"/>
    <w:rsid w:val="006D77F5"/>
    <w:rsid w:val="006E045D"/>
    <w:rsid w:val="006E3D2A"/>
    <w:rsid w:val="006F1CBA"/>
    <w:rsid w:val="006F53E9"/>
    <w:rsid w:val="006F5896"/>
    <w:rsid w:val="006F6B07"/>
    <w:rsid w:val="006F7FB3"/>
    <w:rsid w:val="00700D1B"/>
    <w:rsid w:val="00701213"/>
    <w:rsid w:val="00701E40"/>
    <w:rsid w:val="0070237E"/>
    <w:rsid w:val="007051CA"/>
    <w:rsid w:val="007061C5"/>
    <w:rsid w:val="00706D0E"/>
    <w:rsid w:val="007071E0"/>
    <w:rsid w:val="00711B2D"/>
    <w:rsid w:val="0071241E"/>
    <w:rsid w:val="0071451E"/>
    <w:rsid w:val="0071602E"/>
    <w:rsid w:val="007163F4"/>
    <w:rsid w:val="007172A6"/>
    <w:rsid w:val="00721E58"/>
    <w:rsid w:val="0072455C"/>
    <w:rsid w:val="00724703"/>
    <w:rsid w:val="007259BF"/>
    <w:rsid w:val="00730ECF"/>
    <w:rsid w:val="0073159D"/>
    <w:rsid w:val="0073164C"/>
    <w:rsid w:val="00733111"/>
    <w:rsid w:val="0073597A"/>
    <w:rsid w:val="00735D6A"/>
    <w:rsid w:val="00736960"/>
    <w:rsid w:val="00736D54"/>
    <w:rsid w:val="00736F71"/>
    <w:rsid w:val="00737155"/>
    <w:rsid w:val="007375A6"/>
    <w:rsid w:val="00737C6A"/>
    <w:rsid w:val="0074011F"/>
    <w:rsid w:val="0074072D"/>
    <w:rsid w:val="0074107E"/>
    <w:rsid w:val="007410C7"/>
    <w:rsid w:val="00741C14"/>
    <w:rsid w:val="00741D19"/>
    <w:rsid w:val="007425A6"/>
    <w:rsid w:val="007428FF"/>
    <w:rsid w:val="00743BF1"/>
    <w:rsid w:val="00745782"/>
    <w:rsid w:val="007458D5"/>
    <w:rsid w:val="007478E0"/>
    <w:rsid w:val="00750CC6"/>
    <w:rsid w:val="00751653"/>
    <w:rsid w:val="00752D70"/>
    <w:rsid w:val="00753044"/>
    <w:rsid w:val="007544AD"/>
    <w:rsid w:val="007547E0"/>
    <w:rsid w:val="00754FBD"/>
    <w:rsid w:val="00755C41"/>
    <w:rsid w:val="00755E24"/>
    <w:rsid w:val="0075700F"/>
    <w:rsid w:val="007573B0"/>
    <w:rsid w:val="00757874"/>
    <w:rsid w:val="00762F67"/>
    <w:rsid w:val="00763B06"/>
    <w:rsid w:val="00766E2C"/>
    <w:rsid w:val="00774930"/>
    <w:rsid w:val="00775AC4"/>
    <w:rsid w:val="00776788"/>
    <w:rsid w:val="00777292"/>
    <w:rsid w:val="00777903"/>
    <w:rsid w:val="0077791E"/>
    <w:rsid w:val="007808A9"/>
    <w:rsid w:val="00781F0B"/>
    <w:rsid w:val="00783E79"/>
    <w:rsid w:val="00784FDA"/>
    <w:rsid w:val="00785199"/>
    <w:rsid w:val="0078686A"/>
    <w:rsid w:val="00787927"/>
    <w:rsid w:val="00791255"/>
    <w:rsid w:val="00791899"/>
    <w:rsid w:val="00791CE8"/>
    <w:rsid w:val="00791FE3"/>
    <w:rsid w:val="007930EC"/>
    <w:rsid w:val="00793FF5"/>
    <w:rsid w:val="00797B8C"/>
    <w:rsid w:val="007A01D5"/>
    <w:rsid w:val="007A3021"/>
    <w:rsid w:val="007A44FD"/>
    <w:rsid w:val="007A646B"/>
    <w:rsid w:val="007B0DA9"/>
    <w:rsid w:val="007B2E38"/>
    <w:rsid w:val="007B4AA4"/>
    <w:rsid w:val="007B65F2"/>
    <w:rsid w:val="007C1197"/>
    <w:rsid w:val="007C30C6"/>
    <w:rsid w:val="007C3217"/>
    <w:rsid w:val="007C3861"/>
    <w:rsid w:val="007C3A3F"/>
    <w:rsid w:val="007C3FCF"/>
    <w:rsid w:val="007C5975"/>
    <w:rsid w:val="007C6281"/>
    <w:rsid w:val="007C7CBE"/>
    <w:rsid w:val="007D1616"/>
    <w:rsid w:val="007D3F8F"/>
    <w:rsid w:val="007D5828"/>
    <w:rsid w:val="007D6852"/>
    <w:rsid w:val="007D6EBC"/>
    <w:rsid w:val="007E0DBA"/>
    <w:rsid w:val="007E11EA"/>
    <w:rsid w:val="007E1EFA"/>
    <w:rsid w:val="007E2134"/>
    <w:rsid w:val="007E217F"/>
    <w:rsid w:val="007E32BF"/>
    <w:rsid w:val="007E78AF"/>
    <w:rsid w:val="007E7CD0"/>
    <w:rsid w:val="007F193C"/>
    <w:rsid w:val="007F21A3"/>
    <w:rsid w:val="007F2AC3"/>
    <w:rsid w:val="007F6548"/>
    <w:rsid w:val="007F6BA9"/>
    <w:rsid w:val="007F7AA3"/>
    <w:rsid w:val="00803143"/>
    <w:rsid w:val="0080581A"/>
    <w:rsid w:val="008107AC"/>
    <w:rsid w:val="00810D45"/>
    <w:rsid w:val="0081238A"/>
    <w:rsid w:val="00812EA1"/>
    <w:rsid w:val="00813914"/>
    <w:rsid w:val="008176EC"/>
    <w:rsid w:val="00822F82"/>
    <w:rsid w:val="008262D1"/>
    <w:rsid w:val="00827667"/>
    <w:rsid w:val="00827FB8"/>
    <w:rsid w:val="008303BC"/>
    <w:rsid w:val="00830EC6"/>
    <w:rsid w:val="008324BE"/>
    <w:rsid w:val="00833D15"/>
    <w:rsid w:val="00835342"/>
    <w:rsid w:val="00842E4D"/>
    <w:rsid w:val="0084386F"/>
    <w:rsid w:val="008442EC"/>
    <w:rsid w:val="00845649"/>
    <w:rsid w:val="00846814"/>
    <w:rsid w:val="00846985"/>
    <w:rsid w:val="008476B1"/>
    <w:rsid w:val="00850962"/>
    <w:rsid w:val="00852901"/>
    <w:rsid w:val="00852EF7"/>
    <w:rsid w:val="0085388C"/>
    <w:rsid w:val="00861200"/>
    <w:rsid w:val="00861301"/>
    <w:rsid w:val="00862509"/>
    <w:rsid w:val="00862687"/>
    <w:rsid w:val="00862C48"/>
    <w:rsid w:val="00865993"/>
    <w:rsid w:val="00866D7B"/>
    <w:rsid w:val="0087073A"/>
    <w:rsid w:val="00877EE9"/>
    <w:rsid w:val="008800CF"/>
    <w:rsid w:val="00880387"/>
    <w:rsid w:val="0088082F"/>
    <w:rsid w:val="00882E7A"/>
    <w:rsid w:val="00882F20"/>
    <w:rsid w:val="00883783"/>
    <w:rsid w:val="00883C96"/>
    <w:rsid w:val="00886AD0"/>
    <w:rsid w:val="008918E6"/>
    <w:rsid w:val="00892F7A"/>
    <w:rsid w:val="00894239"/>
    <w:rsid w:val="0089431C"/>
    <w:rsid w:val="008957BA"/>
    <w:rsid w:val="00896399"/>
    <w:rsid w:val="008966D0"/>
    <w:rsid w:val="00897F89"/>
    <w:rsid w:val="008A3E1E"/>
    <w:rsid w:val="008A4391"/>
    <w:rsid w:val="008A4C6A"/>
    <w:rsid w:val="008A558B"/>
    <w:rsid w:val="008A66C7"/>
    <w:rsid w:val="008A6A80"/>
    <w:rsid w:val="008A78C6"/>
    <w:rsid w:val="008B0D60"/>
    <w:rsid w:val="008B1B5E"/>
    <w:rsid w:val="008B446D"/>
    <w:rsid w:val="008B4C34"/>
    <w:rsid w:val="008B507B"/>
    <w:rsid w:val="008C3C6C"/>
    <w:rsid w:val="008D1E42"/>
    <w:rsid w:val="008D2B20"/>
    <w:rsid w:val="008D2C99"/>
    <w:rsid w:val="008D3162"/>
    <w:rsid w:val="008D3B8E"/>
    <w:rsid w:val="008D4D6B"/>
    <w:rsid w:val="008D6309"/>
    <w:rsid w:val="008D66A1"/>
    <w:rsid w:val="008D6CFE"/>
    <w:rsid w:val="008D7A2D"/>
    <w:rsid w:val="008E0855"/>
    <w:rsid w:val="008E0FBC"/>
    <w:rsid w:val="008E3166"/>
    <w:rsid w:val="008E3FE8"/>
    <w:rsid w:val="008F001A"/>
    <w:rsid w:val="008F127B"/>
    <w:rsid w:val="008F2D0F"/>
    <w:rsid w:val="008F32C8"/>
    <w:rsid w:val="008F4695"/>
    <w:rsid w:val="00900698"/>
    <w:rsid w:val="00901B0A"/>
    <w:rsid w:val="009028FC"/>
    <w:rsid w:val="009037EA"/>
    <w:rsid w:val="00904141"/>
    <w:rsid w:val="0090672F"/>
    <w:rsid w:val="00912385"/>
    <w:rsid w:val="00913F2D"/>
    <w:rsid w:val="00915AB7"/>
    <w:rsid w:val="00916636"/>
    <w:rsid w:val="00917913"/>
    <w:rsid w:val="00920D2E"/>
    <w:rsid w:val="00921528"/>
    <w:rsid w:val="00922BF3"/>
    <w:rsid w:val="0092444F"/>
    <w:rsid w:val="00924D88"/>
    <w:rsid w:val="00925F37"/>
    <w:rsid w:val="00927285"/>
    <w:rsid w:val="00930DAE"/>
    <w:rsid w:val="009327C3"/>
    <w:rsid w:val="009357C7"/>
    <w:rsid w:val="00937F11"/>
    <w:rsid w:val="00941C1F"/>
    <w:rsid w:val="00945A2C"/>
    <w:rsid w:val="00950285"/>
    <w:rsid w:val="00950C63"/>
    <w:rsid w:val="0095148A"/>
    <w:rsid w:val="009568E2"/>
    <w:rsid w:val="00956F13"/>
    <w:rsid w:val="00957CBC"/>
    <w:rsid w:val="00960F86"/>
    <w:rsid w:val="00961853"/>
    <w:rsid w:val="0096193A"/>
    <w:rsid w:val="0096215B"/>
    <w:rsid w:val="00964AD1"/>
    <w:rsid w:val="009664F2"/>
    <w:rsid w:val="009667D6"/>
    <w:rsid w:val="00967A74"/>
    <w:rsid w:val="009705C0"/>
    <w:rsid w:val="0097248F"/>
    <w:rsid w:val="009769DA"/>
    <w:rsid w:val="00977EF4"/>
    <w:rsid w:val="009801CA"/>
    <w:rsid w:val="00980A6E"/>
    <w:rsid w:val="00985EAB"/>
    <w:rsid w:val="009863CA"/>
    <w:rsid w:val="0098688E"/>
    <w:rsid w:val="00987A78"/>
    <w:rsid w:val="00990201"/>
    <w:rsid w:val="00990931"/>
    <w:rsid w:val="00990A2B"/>
    <w:rsid w:val="00990A3B"/>
    <w:rsid w:val="00995C5C"/>
    <w:rsid w:val="009A524D"/>
    <w:rsid w:val="009B2249"/>
    <w:rsid w:val="009B22CB"/>
    <w:rsid w:val="009B5536"/>
    <w:rsid w:val="009B6ACE"/>
    <w:rsid w:val="009C30EC"/>
    <w:rsid w:val="009C33BE"/>
    <w:rsid w:val="009C442E"/>
    <w:rsid w:val="009C6402"/>
    <w:rsid w:val="009C6760"/>
    <w:rsid w:val="009C71AC"/>
    <w:rsid w:val="009D11FC"/>
    <w:rsid w:val="009D295F"/>
    <w:rsid w:val="009D4572"/>
    <w:rsid w:val="009D52CD"/>
    <w:rsid w:val="009D5308"/>
    <w:rsid w:val="009D758C"/>
    <w:rsid w:val="009D7C0F"/>
    <w:rsid w:val="009E063A"/>
    <w:rsid w:val="009E1227"/>
    <w:rsid w:val="009E2F0D"/>
    <w:rsid w:val="009E365A"/>
    <w:rsid w:val="009E3F94"/>
    <w:rsid w:val="009E45B1"/>
    <w:rsid w:val="009E480A"/>
    <w:rsid w:val="009E6C7C"/>
    <w:rsid w:val="009F057B"/>
    <w:rsid w:val="009F11AE"/>
    <w:rsid w:val="009F15EE"/>
    <w:rsid w:val="009F2AB5"/>
    <w:rsid w:val="009F431C"/>
    <w:rsid w:val="009F5BF7"/>
    <w:rsid w:val="009F6E97"/>
    <w:rsid w:val="009F7993"/>
    <w:rsid w:val="009F7BF8"/>
    <w:rsid w:val="00A00F03"/>
    <w:rsid w:val="00A034A2"/>
    <w:rsid w:val="00A039A8"/>
    <w:rsid w:val="00A0581B"/>
    <w:rsid w:val="00A07295"/>
    <w:rsid w:val="00A07C5A"/>
    <w:rsid w:val="00A07F91"/>
    <w:rsid w:val="00A138A1"/>
    <w:rsid w:val="00A20F89"/>
    <w:rsid w:val="00A2161A"/>
    <w:rsid w:val="00A217CB"/>
    <w:rsid w:val="00A227EE"/>
    <w:rsid w:val="00A24BE4"/>
    <w:rsid w:val="00A26041"/>
    <w:rsid w:val="00A268A6"/>
    <w:rsid w:val="00A26E85"/>
    <w:rsid w:val="00A321A2"/>
    <w:rsid w:val="00A3295A"/>
    <w:rsid w:val="00A34076"/>
    <w:rsid w:val="00A3599A"/>
    <w:rsid w:val="00A36A0B"/>
    <w:rsid w:val="00A371DC"/>
    <w:rsid w:val="00A3790B"/>
    <w:rsid w:val="00A407F8"/>
    <w:rsid w:val="00A41A87"/>
    <w:rsid w:val="00A41D27"/>
    <w:rsid w:val="00A43698"/>
    <w:rsid w:val="00A45516"/>
    <w:rsid w:val="00A45C71"/>
    <w:rsid w:val="00A46226"/>
    <w:rsid w:val="00A475EF"/>
    <w:rsid w:val="00A50A87"/>
    <w:rsid w:val="00A51C62"/>
    <w:rsid w:val="00A52316"/>
    <w:rsid w:val="00A536E4"/>
    <w:rsid w:val="00A55B66"/>
    <w:rsid w:val="00A57274"/>
    <w:rsid w:val="00A634D4"/>
    <w:rsid w:val="00A63B11"/>
    <w:rsid w:val="00A70C0A"/>
    <w:rsid w:val="00A76EAC"/>
    <w:rsid w:val="00A76F6E"/>
    <w:rsid w:val="00A807CE"/>
    <w:rsid w:val="00A81919"/>
    <w:rsid w:val="00A8410F"/>
    <w:rsid w:val="00A84532"/>
    <w:rsid w:val="00A87711"/>
    <w:rsid w:val="00A9262C"/>
    <w:rsid w:val="00A93D1E"/>
    <w:rsid w:val="00A93FBB"/>
    <w:rsid w:val="00A941CC"/>
    <w:rsid w:val="00A963AF"/>
    <w:rsid w:val="00A97F77"/>
    <w:rsid w:val="00AA088C"/>
    <w:rsid w:val="00AA1C7A"/>
    <w:rsid w:val="00AA25B9"/>
    <w:rsid w:val="00AA41DD"/>
    <w:rsid w:val="00AA596E"/>
    <w:rsid w:val="00AB2306"/>
    <w:rsid w:val="00AB4481"/>
    <w:rsid w:val="00AB49AC"/>
    <w:rsid w:val="00AB51B7"/>
    <w:rsid w:val="00AB62B5"/>
    <w:rsid w:val="00AC11DA"/>
    <w:rsid w:val="00AC2A6E"/>
    <w:rsid w:val="00AC31C6"/>
    <w:rsid w:val="00AC5778"/>
    <w:rsid w:val="00AD26C6"/>
    <w:rsid w:val="00AD3991"/>
    <w:rsid w:val="00AD5462"/>
    <w:rsid w:val="00AD718B"/>
    <w:rsid w:val="00AE0EA3"/>
    <w:rsid w:val="00AE1991"/>
    <w:rsid w:val="00AE2B10"/>
    <w:rsid w:val="00AE425B"/>
    <w:rsid w:val="00AE48C5"/>
    <w:rsid w:val="00AE4BFC"/>
    <w:rsid w:val="00AE682F"/>
    <w:rsid w:val="00AE6BE6"/>
    <w:rsid w:val="00AE6D3A"/>
    <w:rsid w:val="00AF1DF5"/>
    <w:rsid w:val="00AF2FC5"/>
    <w:rsid w:val="00B00CB6"/>
    <w:rsid w:val="00B0392E"/>
    <w:rsid w:val="00B05074"/>
    <w:rsid w:val="00B10272"/>
    <w:rsid w:val="00B12051"/>
    <w:rsid w:val="00B12699"/>
    <w:rsid w:val="00B154D1"/>
    <w:rsid w:val="00B155ED"/>
    <w:rsid w:val="00B16F71"/>
    <w:rsid w:val="00B2045C"/>
    <w:rsid w:val="00B20A18"/>
    <w:rsid w:val="00B2180C"/>
    <w:rsid w:val="00B22A7B"/>
    <w:rsid w:val="00B23364"/>
    <w:rsid w:val="00B26780"/>
    <w:rsid w:val="00B27E21"/>
    <w:rsid w:val="00B31915"/>
    <w:rsid w:val="00B31EE1"/>
    <w:rsid w:val="00B34258"/>
    <w:rsid w:val="00B35A78"/>
    <w:rsid w:val="00B3668C"/>
    <w:rsid w:val="00B405E7"/>
    <w:rsid w:val="00B40CD5"/>
    <w:rsid w:val="00B411C6"/>
    <w:rsid w:val="00B41656"/>
    <w:rsid w:val="00B42AC1"/>
    <w:rsid w:val="00B50285"/>
    <w:rsid w:val="00B504E3"/>
    <w:rsid w:val="00B5050E"/>
    <w:rsid w:val="00B51AE1"/>
    <w:rsid w:val="00B537DA"/>
    <w:rsid w:val="00B5408F"/>
    <w:rsid w:val="00B5429D"/>
    <w:rsid w:val="00B56F6D"/>
    <w:rsid w:val="00B571B6"/>
    <w:rsid w:val="00B57F8C"/>
    <w:rsid w:val="00B60571"/>
    <w:rsid w:val="00B6143B"/>
    <w:rsid w:val="00B61F07"/>
    <w:rsid w:val="00B62096"/>
    <w:rsid w:val="00B6718A"/>
    <w:rsid w:val="00B67D86"/>
    <w:rsid w:val="00B70CC9"/>
    <w:rsid w:val="00B720B0"/>
    <w:rsid w:val="00B73541"/>
    <w:rsid w:val="00B7396B"/>
    <w:rsid w:val="00B73B4A"/>
    <w:rsid w:val="00B74F6C"/>
    <w:rsid w:val="00B75ABE"/>
    <w:rsid w:val="00B75B55"/>
    <w:rsid w:val="00B82950"/>
    <w:rsid w:val="00B83606"/>
    <w:rsid w:val="00B83CF4"/>
    <w:rsid w:val="00B8446C"/>
    <w:rsid w:val="00B85E82"/>
    <w:rsid w:val="00B878A7"/>
    <w:rsid w:val="00B90433"/>
    <w:rsid w:val="00B92F00"/>
    <w:rsid w:val="00B93B96"/>
    <w:rsid w:val="00B97101"/>
    <w:rsid w:val="00BA3627"/>
    <w:rsid w:val="00BA50A4"/>
    <w:rsid w:val="00BA7133"/>
    <w:rsid w:val="00BB0C22"/>
    <w:rsid w:val="00BB15BC"/>
    <w:rsid w:val="00BB5000"/>
    <w:rsid w:val="00BB6D6C"/>
    <w:rsid w:val="00BC04BA"/>
    <w:rsid w:val="00BC2A61"/>
    <w:rsid w:val="00BC3F45"/>
    <w:rsid w:val="00BC404D"/>
    <w:rsid w:val="00BC4C83"/>
    <w:rsid w:val="00BC593C"/>
    <w:rsid w:val="00BC64EB"/>
    <w:rsid w:val="00BC7401"/>
    <w:rsid w:val="00BD15AA"/>
    <w:rsid w:val="00BD2A93"/>
    <w:rsid w:val="00BD2E2E"/>
    <w:rsid w:val="00BD4372"/>
    <w:rsid w:val="00BD536D"/>
    <w:rsid w:val="00BD5AA8"/>
    <w:rsid w:val="00BE1AD7"/>
    <w:rsid w:val="00BE3EE2"/>
    <w:rsid w:val="00BE4F16"/>
    <w:rsid w:val="00BE4F2F"/>
    <w:rsid w:val="00BE57FA"/>
    <w:rsid w:val="00BE6295"/>
    <w:rsid w:val="00BE64B9"/>
    <w:rsid w:val="00BE7876"/>
    <w:rsid w:val="00BE78C6"/>
    <w:rsid w:val="00BE7A9E"/>
    <w:rsid w:val="00BF0A6C"/>
    <w:rsid w:val="00BF0BD7"/>
    <w:rsid w:val="00BF0FEA"/>
    <w:rsid w:val="00BF1EE7"/>
    <w:rsid w:val="00BF2639"/>
    <w:rsid w:val="00BF402B"/>
    <w:rsid w:val="00BF548F"/>
    <w:rsid w:val="00C02421"/>
    <w:rsid w:val="00C04B45"/>
    <w:rsid w:val="00C0500D"/>
    <w:rsid w:val="00C068F1"/>
    <w:rsid w:val="00C06976"/>
    <w:rsid w:val="00C0732C"/>
    <w:rsid w:val="00C10C8D"/>
    <w:rsid w:val="00C11671"/>
    <w:rsid w:val="00C13E22"/>
    <w:rsid w:val="00C14C85"/>
    <w:rsid w:val="00C17AAE"/>
    <w:rsid w:val="00C17CBC"/>
    <w:rsid w:val="00C21E24"/>
    <w:rsid w:val="00C230BA"/>
    <w:rsid w:val="00C25FAE"/>
    <w:rsid w:val="00C2682E"/>
    <w:rsid w:val="00C26A0C"/>
    <w:rsid w:val="00C31C94"/>
    <w:rsid w:val="00C34EB4"/>
    <w:rsid w:val="00C36E96"/>
    <w:rsid w:val="00C37D1B"/>
    <w:rsid w:val="00C40DA1"/>
    <w:rsid w:val="00C47D52"/>
    <w:rsid w:val="00C51E35"/>
    <w:rsid w:val="00C54FA5"/>
    <w:rsid w:val="00C55EE6"/>
    <w:rsid w:val="00C56A7C"/>
    <w:rsid w:val="00C61104"/>
    <w:rsid w:val="00C613D5"/>
    <w:rsid w:val="00C61AA9"/>
    <w:rsid w:val="00C626D6"/>
    <w:rsid w:val="00C64B95"/>
    <w:rsid w:val="00C652AD"/>
    <w:rsid w:val="00C662D9"/>
    <w:rsid w:val="00C6706E"/>
    <w:rsid w:val="00C678E7"/>
    <w:rsid w:val="00C712C9"/>
    <w:rsid w:val="00C71ED3"/>
    <w:rsid w:val="00C71EF3"/>
    <w:rsid w:val="00C725A6"/>
    <w:rsid w:val="00C74548"/>
    <w:rsid w:val="00C750DB"/>
    <w:rsid w:val="00C75847"/>
    <w:rsid w:val="00C75F80"/>
    <w:rsid w:val="00C77284"/>
    <w:rsid w:val="00C77B57"/>
    <w:rsid w:val="00C860A7"/>
    <w:rsid w:val="00C87094"/>
    <w:rsid w:val="00C90B5C"/>
    <w:rsid w:val="00C912F4"/>
    <w:rsid w:val="00C95FC3"/>
    <w:rsid w:val="00C97540"/>
    <w:rsid w:val="00C97FB2"/>
    <w:rsid w:val="00CA0BB2"/>
    <w:rsid w:val="00CA1C24"/>
    <w:rsid w:val="00CA2B66"/>
    <w:rsid w:val="00CA50DC"/>
    <w:rsid w:val="00CA5DE1"/>
    <w:rsid w:val="00CB02CF"/>
    <w:rsid w:val="00CB17F0"/>
    <w:rsid w:val="00CB7605"/>
    <w:rsid w:val="00CB79A2"/>
    <w:rsid w:val="00CB7C2D"/>
    <w:rsid w:val="00CC0E33"/>
    <w:rsid w:val="00CC209F"/>
    <w:rsid w:val="00CC2188"/>
    <w:rsid w:val="00CC7400"/>
    <w:rsid w:val="00CC7705"/>
    <w:rsid w:val="00CD0B17"/>
    <w:rsid w:val="00CD4FF6"/>
    <w:rsid w:val="00CD5808"/>
    <w:rsid w:val="00CD5AFD"/>
    <w:rsid w:val="00CD6A0C"/>
    <w:rsid w:val="00CD6F0F"/>
    <w:rsid w:val="00CE07D2"/>
    <w:rsid w:val="00CE425D"/>
    <w:rsid w:val="00CE6CA0"/>
    <w:rsid w:val="00CF333F"/>
    <w:rsid w:val="00CF3964"/>
    <w:rsid w:val="00CF433B"/>
    <w:rsid w:val="00CF4519"/>
    <w:rsid w:val="00CF758A"/>
    <w:rsid w:val="00D0041B"/>
    <w:rsid w:val="00D0595B"/>
    <w:rsid w:val="00D103DC"/>
    <w:rsid w:val="00D10472"/>
    <w:rsid w:val="00D16A6A"/>
    <w:rsid w:val="00D16FBE"/>
    <w:rsid w:val="00D20075"/>
    <w:rsid w:val="00D2049F"/>
    <w:rsid w:val="00D226F0"/>
    <w:rsid w:val="00D253E3"/>
    <w:rsid w:val="00D27225"/>
    <w:rsid w:val="00D2780B"/>
    <w:rsid w:val="00D32F5B"/>
    <w:rsid w:val="00D33655"/>
    <w:rsid w:val="00D3552A"/>
    <w:rsid w:val="00D44190"/>
    <w:rsid w:val="00D448AE"/>
    <w:rsid w:val="00D464A6"/>
    <w:rsid w:val="00D51009"/>
    <w:rsid w:val="00D51FE2"/>
    <w:rsid w:val="00D60C8C"/>
    <w:rsid w:val="00D6212E"/>
    <w:rsid w:val="00D63F7F"/>
    <w:rsid w:val="00D661BF"/>
    <w:rsid w:val="00D664E1"/>
    <w:rsid w:val="00D6753B"/>
    <w:rsid w:val="00D70A16"/>
    <w:rsid w:val="00D70A78"/>
    <w:rsid w:val="00D73ED4"/>
    <w:rsid w:val="00D76371"/>
    <w:rsid w:val="00D81045"/>
    <w:rsid w:val="00D8185C"/>
    <w:rsid w:val="00D82B6E"/>
    <w:rsid w:val="00D82E41"/>
    <w:rsid w:val="00D83352"/>
    <w:rsid w:val="00D86FD5"/>
    <w:rsid w:val="00D878F9"/>
    <w:rsid w:val="00D9253B"/>
    <w:rsid w:val="00D93313"/>
    <w:rsid w:val="00D933A9"/>
    <w:rsid w:val="00D93E6E"/>
    <w:rsid w:val="00D945D9"/>
    <w:rsid w:val="00D94A65"/>
    <w:rsid w:val="00D975F5"/>
    <w:rsid w:val="00DA050F"/>
    <w:rsid w:val="00DA203B"/>
    <w:rsid w:val="00DA55BB"/>
    <w:rsid w:val="00DA7766"/>
    <w:rsid w:val="00DB18D8"/>
    <w:rsid w:val="00DB7638"/>
    <w:rsid w:val="00DC0617"/>
    <w:rsid w:val="00DC0C6A"/>
    <w:rsid w:val="00DC1078"/>
    <w:rsid w:val="00DC1C26"/>
    <w:rsid w:val="00DC2C04"/>
    <w:rsid w:val="00DC2F19"/>
    <w:rsid w:val="00DC5159"/>
    <w:rsid w:val="00DC5871"/>
    <w:rsid w:val="00DC591B"/>
    <w:rsid w:val="00DC5CA0"/>
    <w:rsid w:val="00DC5D2D"/>
    <w:rsid w:val="00DC5FBB"/>
    <w:rsid w:val="00DC64CF"/>
    <w:rsid w:val="00DC6EA9"/>
    <w:rsid w:val="00DC76DA"/>
    <w:rsid w:val="00DD247D"/>
    <w:rsid w:val="00DD3BDD"/>
    <w:rsid w:val="00DD5298"/>
    <w:rsid w:val="00DD53F2"/>
    <w:rsid w:val="00DE0D85"/>
    <w:rsid w:val="00DE15AE"/>
    <w:rsid w:val="00DE2C6C"/>
    <w:rsid w:val="00DE2ED0"/>
    <w:rsid w:val="00DE6356"/>
    <w:rsid w:val="00DF1796"/>
    <w:rsid w:val="00DF53E9"/>
    <w:rsid w:val="00E00243"/>
    <w:rsid w:val="00E009E2"/>
    <w:rsid w:val="00E00B4A"/>
    <w:rsid w:val="00E01D2A"/>
    <w:rsid w:val="00E01DFB"/>
    <w:rsid w:val="00E02A08"/>
    <w:rsid w:val="00E04138"/>
    <w:rsid w:val="00E046D4"/>
    <w:rsid w:val="00E06745"/>
    <w:rsid w:val="00E109DA"/>
    <w:rsid w:val="00E129A2"/>
    <w:rsid w:val="00E143F3"/>
    <w:rsid w:val="00E144A9"/>
    <w:rsid w:val="00E16223"/>
    <w:rsid w:val="00E17B94"/>
    <w:rsid w:val="00E216E4"/>
    <w:rsid w:val="00E22B6C"/>
    <w:rsid w:val="00E23913"/>
    <w:rsid w:val="00E2449F"/>
    <w:rsid w:val="00E30353"/>
    <w:rsid w:val="00E3075A"/>
    <w:rsid w:val="00E36262"/>
    <w:rsid w:val="00E41C1A"/>
    <w:rsid w:val="00E44176"/>
    <w:rsid w:val="00E458B8"/>
    <w:rsid w:val="00E52091"/>
    <w:rsid w:val="00E5217E"/>
    <w:rsid w:val="00E53070"/>
    <w:rsid w:val="00E54F2C"/>
    <w:rsid w:val="00E5640F"/>
    <w:rsid w:val="00E56842"/>
    <w:rsid w:val="00E56FA6"/>
    <w:rsid w:val="00E57B29"/>
    <w:rsid w:val="00E60A1A"/>
    <w:rsid w:val="00E61D58"/>
    <w:rsid w:val="00E63CE4"/>
    <w:rsid w:val="00E642CC"/>
    <w:rsid w:val="00E673AA"/>
    <w:rsid w:val="00E67875"/>
    <w:rsid w:val="00E67EC7"/>
    <w:rsid w:val="00E71A78"/>
    <w:rsid w:val="00E7258A"/>
    <w:rsid w:val="00E74353"/>
    <w:rsid w:val="00E746D3"/>
    <w:rsid w:val="00E76B6F"/>
    <w:rsid w:val="00E80DA4"/>
    <w:rsid w:val="00E81420"/>
    <w:rsid w:val="00E82E16"/>
    <w:rsid w:val="00E83599"/>
    <w:rsid w:val="00E84731"/>
    <w:rsid w:val="00E866D7"/>
    <w:rsid w:val="00E8673E"/>
    <w:rsid w:val="00E86A06"/>
    <w:rsid w:val="00E87114"/>
    <w:rsid w:val="00E90B2D"/>
    <w:rsid w:val="00E92BE3"/>
    <w:rsid w:val="00E93B35"/>
    <w:rsid w:val="00E945AF"/>
    <w:rsid w:val="00E95192"/>
    <w:rsid w:val="00E95B8D"/>
    <w:rsid w:val="00EA0883"/>
    <w:rsid w:val="00EA1502"/>
    <w:rsid w:val="00EA1C21"/>
    <w:rsid w:val="00EB0173"/>
    <w:rsid w:val="00EB1EDD"/>
    <w:rsid w:val="00EB35D1"/>
    <w:rsid w:val="00EB3AD9"/>
    <w:rsid w:val="00EB3FBD"/>
    <w:rsid w:val="00EB645D"/>
    <w:rsid w:val="00EC06AB"/>
    <w:rsid w:val="00EC081B"/>
    <w:rsid w:val="00EC1F6D"/>
    <w:rsid w:val="00EC274B"/>
    <w:rsid w:val="00EC2921"/>
    <w:rsid w:val="00EC2B91"/>
    <w:rsid w:val="00EC5EE4"/>
    <w:rsid w:val="00EC6844"/>
    <w:rsid w:val="00ED0146"/>
    <w:rsid w:val="00ED0BAF"/>
    <w:rsid w:val="00ED11DE"/>
    <w:rsid w:val="00ED1C36"/>
    <w:rsid w:val="00ED2B2D"/>
    <w:rsid w:val="00ED310D"/>
    <w:rsid w:val="00ED33EF"/>
    <w:rsid w:val="00ED6FB0"/>
    <w:rsid w:val="00ED76F6"/>
    <w:rsid w:val="00EE0127"/>
    <w:rsid w:val="00EE054E"/>
    <w:rsid w:val="00EE0CD7"/>
    <w:rsid w:val="00EE1F9F"/>
    <w:rsid w:val="00EE299C"/>
    <w:rsid w:val="00EE3F4A"/>
    <w:rsid w:val="00EE7F99"/>
    <w:rsid w:val="00EF1A71"/>
    <w:rsid w:val="00EF26EC"/>
    <w:rsid w:val="00EF3D49"/>
    <w:rsid w:val="00EF5488"/>
    <w:rsid w:val="00EF5DAF"/>
    <w:rsid w:val="00EF729A"/>
    <w:rsid w:val="00F004D1"/>
    <w:rsid w:val="00F01565"/>
    <w:rsid w:val="00F0159C"/>
    <w:rsid w:val="00F0284E"/>
    <w:rsid w:val="00F031E7"/>
    <w:rsid w:val="00F03D4D"/>
    <w:rsid w:val="00F03DC3"/>
    <w:rsid w:val="00F04492"/>
    <w:rsid w:val="00F056D5"/>
    <w:rsid w:val="00F06213"/>
    <w:rsid w:val="00F07CB9"/>
    <w:rsid w:val="00F10AAB"/>
    <w:rsid w:val="00F10ABC"/>
    <w:rsid w:val="00F16647"/>
    <w:rsid w:val="00F16EDE"/>
    <w:rsid w:val="00F17AFF"/>
    <w:rsid w:val="00F23B2B"/>
    <w:rsid w:val="00F25371"/>
    <w:rsid w:val="00F254F0"/>
    <w:rsid w:val="00F30299"/>
    <w:rsid w:val="00F30B4D"/>
    <w:rsid w:val="00F312A2"/>
    <w:rsid w:val="00F33209"/>
    <w:rsid w:val="00F35E2B"/>
    <w:rsid w:val="00F37D29"/>
    <w:rsid w:val="00F43839"/>
    <w:rsid w:val="00F43BC7"/>
    <w:rsid w:val="00F465BA"/>
    <w:rsid w:val="00F52790"/>
    <w:rsid w:val="00F5304F"/>
    <w:rsid w:val="00F53A35"/>
    <w:rsid w:val="00F55F44"/>
    <w:rsid w:val="00F62D63"/>
    <w:rsid w:val="00F638A3"/>
    <w:rsid w:val="00F67991"/>
    <w:rsid w:val="00F815AA"/>
    <w:rsid w:val="00F825E1"/>
    <w:rsid w:val="00F830FF"/>
    <w:rsid w:val="00F83812"/>
    <w:rsid w:val="00F87215"/>
    <w:rsid w:val="00F8723F"/>
    <w:rsid w:val="00F87E1C"/>
    <w:rsid w:val="00F90F23"/>
    <w:rsid w:val="00F91F9A"/>
    <w:rsid w:val="00F93CE1"/>
    <w:rsid w:val="00F94090"/>
    <w:rsid w:val="00F94FD3"/>
    <w:rsid w:val="00F95382"/>
    <w:rsid w:val="00F9545E"/>
    <w:rsid w:val="00F973A4"/>
    <w:rsid w:val="00F97485"/>
    <w:rsid w:val="00FA1CA3"/>
    <w:rsid w:val="00FA3580"/>
    <w:rsid w:val="00FA397B"/>
    <w:rsid w:val="00FA3A40"/>
    <w:rsid w:val="00FA3BFF"/>
    <w:rsid w:val="00FA7247"/>
    <w:rsid w:val="00FB104C"/>
    <w:rsid w:val="00FB1AE3"/>
    <w:rsid w:val="00FB26BD"/>
    <w:rsid w:val="00FB298F"/>
    <w:rsid w:val="00FB39C6"/>
    <w:rsid w:val="00FB5A01"/>
    <w:rsid w:val="00FB6856"/>
    <w:rsid w:val="00FB70DF"/>
    <w:rsid w:val="00FB7A6A"/>
    <w:rsid w:val="00FC1A69"/>
    <w:rsid w:val="00FC3531"/>
    <w:rsid w:val="00FC7718"/>
    <w:rsid w:val="00FD0487"/>
    <w:rsid w:val="00FD14EE"/>
    <w:rsid w:val="00FD2C65"/>
    <w:rsid w:val="00FD5B8D"/>
    <w:rsid w:val="00FE11A8"/>
    <w:rsid w:val="00FE1B0F"/>
    <w:rsid w:val="00FE2448"/>
    <w:rsid w:val="00FE4D98"/>
    <w:rsid w:val="00FE6305"/>
    <w:rsid w:val="00FE7937"/>
    <w:rsid w:val="00FE7CC2"/>
    <w:rsid w:val="00FF05FD"/>
    <w:rsid w:val="00FF1CC0"/>
    <w:rsid w:val="00FF24E6"/>
    <w:rsid w:val="00FF2C20"/>
    <w:rsid w:val="00FF6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1027" fill="f" fillcolor="#c2d69b">
      <v:fill color="#c2d69b" on="f"/>
      <o:colormenu v:ext="edit" fillcolor="none [2407]" strokecolor="none [240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497"/>
    <w:pPr>
      <w:tabs>
        <w:tab w:val="left" w:pos="900"/>
      </w:tabs>
      <w:spacing w:before="120" w:after="120"/>
    </w:pPr>
    <w:rPr>
      <w:sz w:val="24"/>
      <w:szCs w:val="24"/>
    </w:rPr>
  </w:style>
  <w:style w:type="paragraph" w:styleId="Heading1">
    <w:name w:val="heading 1"/>
    <w:basedOn w:val="Normal"/>
    <w:next w:val="Normal"/>
    <w:link w:val="Heading1Char"/>
    <w:qFormat/>
    <w:rsid w:val="00DD3BD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0500D"/>
    <w:pPr>
      <w:keepNext/>
      <w:jc w:val="center"/>
      <w:outlineLvl w:val="1"/>
    </w:pPr>
    <w:rPr>
      <w:rFonts w:ascii="Verdana" w:eastAsia="Times New Roman" w:hAnsi="Verdana"/>
      <w:b/>
      <w:bCs/>
    </w:rPr>
  </w:style>
  <w:style w:type="paragraph" w:styleId="Heading3">
    <w:name w:val="heading 3"/>
    <w:basedOn w:val="Normal"/>
    <w:next w:val="Normal"/>
    <w:link w:val="Heading3Char"/>
    <w:uiPriority w:val="9"/>
    <w:qFormat/>
    <w:rsid w:val="00DD3BD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07B"/>
    <w:rPr>
      <w:rFonts w:ascii="Tahoma" w:hAnsi="Tahoma" w:cs="Tahoma"/>
      <w:sz w:val="16"/>
      <w:szCs w:val="16"/>
    </w:rPr>
  </w:style>
  <w:style w:type="character" w:customStyle="1" w:styleId="BalloonTextChar">
    <w:name w:val="Balloon Text Char"/>
    <w:basedOn w:val="DefaultParagraphFont"/>
    <w:link w:val="BalloonText"/>
    <w:uiPriority w:val="99"/>
    <w:semiHidden/>
    <w:rsid w:val="005C107B"/>
    <w:rPr>
      <w:rFonts w:ascii="Tahoma" w:hAnsi="Tahoma" w:cs="Tahoma"/>
      <w:sz w:val="16"/>
      <w:szCs w:val="16"/>
    </w:rPr>
  </w:style>
  <w:style w:type="paragraph" w:styleId="ListParagraph">
    <w:name w:val="List Paragraph"/>
    <w:basedOn w:val="Normal"/>
    <w:uiPriority w:val="34"/>
    <w:qFormat/>
    <w:rsid w:val="00A3295A"/>
    <w:pPr>
      <w:ind w:left="720"/>
      <w:contextualSpacing/>
    </w:pPr>
  </w:style>
  <w:style w:type="table" w:styleId="TableGrid">
    <w:name w:val="Table Grid"/>
    <w:basedOn w:val="TableNormal"/>
    <w:uiPriority w:val="59"/>
    <w:rsid w:val="00A455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62096"/>
    <w:pPr>
      <w:tabs>
        <w:tab w:val="center" w:pos="4680"/>
        <w:tab w:val="right" w:pos="9360"/>
      </w:tabs>
    </w:pPr>
  </w:style>
  <w:style w:type="character" w:customStyle="1" w:styleId="HeaderChar">
    <w:name w:val="Header Char"/>
    <w:basedOn w:val="DefaultParagraphFont"/>
    <w:link w:val="Header"/>
    <w:uiPriority w:val="99"/>
    <w:semiHidden/>
    <w:rsid w:val="00B62096"/>
  </w:style>
  <w:style w:type="paragraph" w:styleId="Footer">
    <w:name w:val="footer"/>
    <w:basedOn w:val="Normal"/>
    <w:link w:val="FooterChar"/>
    <w:uiPriority w:val="99"/>
    <w:unhideWhenUsed/>
    <w:rsid w:val="00B62096"/>
    <w:pPr>
      <w:tabs>
        <w:tab w:val="center" w:pos="4680"/>
        <w:tab w:val="right" w:pos="9360"/>
      </w:tabs>
    </w:pPr>
  </w:style>
  <w:style w:type="character" w:customStyle="1" w:styleId="FooterChar">
    <w:name w:val="Footer Char"/>
    <w:basedOn w:val="DefaultParagraphFont"/>
    <w:link w:val="Footer"/>
    <w:uiPriority w:val="99"/>
    <w:rsid w:val="00B62096"/>
  </w:style>
  <w:style w:type="table" w:customStyle="1" w:styleId="Calendar1">
    <w:name w:val="Calendar 1"/>
    <w:basedOn w:val="TableNormal"/>
    <w:uiPriority w:val="99"/>
    <w:qFormat/>
    <w:rsid w:val="00634313"/>
    <w:rPr>
      <w:rFonts w:ascii="Calibri" w:eastAsia="Times New Roman" w:hAnsi="Calibr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BodyTextIndent3">
    <w:name w:val="Body Text Indent 3"/>
    <w:basedOn w:val="Normal"/>
    <w:link w:val="BodyTextIndent3Char"/>
    <w:rsid w:val="00091D5B"/>
    <w:pPr>
      <w:ind w:left="360"/>
    </w:pPr>
    <w:rPr>
      <w:rFonts w:eastAsia="Times New Roman"/>
      <w:sz w:val="16"/>
      <w:szCs w:val="16"/>
    </w:rPr>
  </w:style>
  <w:style w:type="character" w:customStyle="1" w:styleId="BodyTextIndent3Char">
    <w:name w:val="Body Text Indent 3 Char"/>
    <w:basedOn w:val="DefaultParagraphFont"/>
    <w:link w:val="BodyTextIndent3"/>
    <w:rsid w:val="00091D5B"/>
    <w:rPr>
      <w:rFonts w:eastAsia="Times New Roman"/>
      <w:sz w:val="16"/>
      <w:szCs w:val="16"/>
    </w:rPr>
  </w:style>
  <w:style w:type="character" w:styleId="Hyperlink">
    <w:name w:val="Hyperlink"/>
    <w:basedOn w:val="DefaultParagraphFont"/>
    <w:uiPriority w:val="99"/>
    <w:unhideWhenUsed/>
    <w:rsid w:val="00AE6BE6"/>
    <w:rPr>
      <w:color w:val="0000FF"/>
      <w:u w:val="single"/>
    </w:rPr>
  </w:style>
  <w:style w:type="paragraph" w:styleId="Caption">
    <w:name w:val="caption"/>
    <w:basedOn w:val="Normal"/>
    <w:next w:val="Normal"/>
    <w:qFormat/>
    <w:rsid w:val="00EB645D"/>
    <w:rPr>
      <w:rFonts w:ascii="Arial" w:eastAsia="Times New Roman" w:hAnsi="Arial" w:cs="Arial"/>
      <w:b/>
      <w:bCs/>
      <w:sz w:val="22"/>
    </w:rPr>
  </w:style>
  <w:style w:type="paragraph" w:styleId="HTMLPreformatted">
    <w:name w:val="HTML Preformatted"/>
    <w:basedOn w:val="Normal"/>
    <w:rsid w:val="00741C14"/>
    <w:p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rPr>
  </w:style>
  <w:style w:type="character" w:styleId="PageNumber">
    <w:name w:val="page number"/>
    <w:basedOn w:val="DefaultParagraphFont"/>
    <w:rsid w:val="00294D5B"/>
    <w:rPr>
      <w:rFonts w:ascii="Calibri" w:hAnsi="Calibri"/>
      <w:color w:val="7F7F7F"/>
      <w:spacing w:val="60"/>
      <w:sz w:val="18"/>
      <w:szCs w:val="18"/>
    </w:rPr>
  </w:style>
  <w:style w:type="character" w:customStyle="1" w:styleId="Heading2Char">
    <w:name w:val="Heading 2 Char"/>
    <w:basedOn w:val="DefaultParagraphFont"/>
    <w:link w:val="Heading2"/>
    <w:rsid w:val="00C0500D"/>
    <w:rPr>
      <w:rFonts w:ascii="Verdana" w:eastAsia="Times New Roman" w:hAnsi="Verdana"/>
      <w:b/>
      <w:bCs/>
      <w:sz w:val="24"/>
      <w:szCs w:val="24"/>
    </w:rPr>
  </w:style>
  <w:style w:type="paragraph" w:styleId="NormalWeb">
    <w:name w:val="Normal (Web)"/>
    <w:basedOn w:val="Normal"/>
    <w:uiPriority w:val="99"/>
    <w:rsid w:val="006366BB"/>
    <w:pPr>
      <w:spacing w:before="100" w:beforeAutospacing="1" w:after="100" w:afterAutospacing="1"/>
    </w:pPr>
    <w:rPr>
      <w:rFonts w:ascii="Arial Unicode MS" w:eastAsia="Arial Unicode MS" w:hAnsi="Arial Unicode MS" w:cs="Arial Unicode MS"/>
    </w:rPr>
  </w:style>
  <w:style w:type="paragraph" w:customStyle="1" w:styleId="Default">
    <w:name w:val="Default"/>
    <w:rsid w:val="00F10AAB"/>
    <w:pPr>
      <w:autoSpaceDE w:val="0"/>
      <w:autoSpaceDN w:val="0"/>
      <w:adjustRightInd w:val="0"/>
    </w:pPr>
    <w:rPr>
      <w:rFonts w:ascii="Helvetica Neue" w:hAnsi="Helvetica Neue" w:cs="Helvetica Neue"/>
      <w:color w:val="000000"/>
      <w:sz w:val="24"/>
      <w:szCs w:val="24"/>
    </w:rPr>
  </w:style>
  <w:style w:type="character" w:customStyle="1" w:styleId="componentlistitemcontent2">
    <w:name w:val="component_listitem_content2"/>
    <w:basedOn w:val="DefaultParagraphFont"/>
    <w:rsid w:val="006842BB"/>
    <w:rPr>
      <w:vanish w:val="0"/>
      <w:webHidden w:val="0"/>
      <w:specVanish w:val="0"/>
    </w:rPr>
  </w:style>
  <w:style w:type="character" w:customStyle="1" w:styleId="Heading1Char">
    <w:name w:val="Heading 1 Char"/>
    <w:basedOn w:val="DefaultParagraphFont"/>
    <w:link w:val="Heading1"/>
    <w:uiPriority w:val="9"/>
    <w:rsid w:val="00DD3BDD"/>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DD3BDD"/>
    <w:rPr>
      <w:rFonts w:ascii="Cambria" w:eastAsia="Times New Roman" w:hAnsi="Cambria"/>
      <w:b/>
      <w:bCs/>
      <w:sz w:val="26"/>
      <w:szCs w:val="26"/>
    </w:rPr>
  </w:style>
  <w:style w:type="paragraph" w:styleId="BodyText">
    <w:name w:val="Body Text"/>
    <w:basedOn w:val="Normal"/>
    <w:link w:val="BodyTextChar"/>
    <w:semiHidden/>
    <w:rsid w:val="00DD3BDD"/>
    <w:pPr>
      <w:spacing w:after="58"/>
    </w:pPr>
    <w:rPr>
      <w:rFonts w:ascii="Arial Narrow" w:eastAsia="Times New Roman" w:hAnsi="Arial Narrow"/>
      <w:bCs/>
      <w:sz w:val="22"/>
    </w:rPr>
  </w:style>
  <w:style w:type="character" w:customStyle="1" w:styleId="BodyTextChar">
    <w:name w:val="Body Text Char"/>
    <w:basedOn w:val="DefaultParagraphFont"/>
    <w:link w:val="BodyText"/>
    <w:semiHidden/>
    <w:rsid w:val="00DD3BDD"/>
    <w:rPr>
      <w:rFonts w:ascii="Arial Narrow" w:eastAsia="Times New Roman" w:hAnsi="Arial Narrow"/>
      <w:bCs/>
      <w:sz w:val="22"/>
      <w:szCs w:val="24"/>
    </w:rPr>
  </w:style>
  <w:style w:type="character" w:customStyle="1" w:styleId="textstyle21">
    <w:name w:val="textstyle21"/>
    <w:basedOn w:val="DefaultParagraphFont"/>
    <w:rsid w:val="00DD3BDD"/>
    <w:rPr>
      <w:rFonts w:ascii="Arial" w:hAnsi="Arial" w:cs="Arial" w:hint="default"/>
      <w:b/>
      <w:bCs/>
      <w:i w:val="0"/>
      <w:iCs w:val="0"/>
      <w:strike w:val="0"/>
      <w:dstrike w:val="0"/>
      <w:color w:val="643200"/>
      <w:sz w:val="20"/>
      <w:szCs w:val="20"/>
      <w:u w:val="none"/>
      <w:effect w:val="none"/>
    </w:rPr>
  </w:style>
  <w:style w:type="character" w:styleId="Strong">
    <w:name w:val="Strong"/>
    <w:basedOn w:val="DefaultParagraphFont"/>
    <w:uiPriority w:val="22"/>
    <w:qFormat/>
    <w:rsid w:val="00DD3BDD"/>
    <w:rPr>
      <w:b/>
      <w:bCs/>
    </w:rPr>
  </w:style>
  <w:style w:type="character" w:customStyle="1" w:styleId="headerphone">
    <w:name w:val="header_phone"/>
    <w:basedOn w:val="DefaultParagraphFont"/>
    <w:rsid w:val="00DD3BDD"/>
  </w:style>
  <w:style w:type="character" w:styleId="Emphasis">
    <w:name w:val="Emphasis"/>
    <w:basedOn w:val="DefaultParagraphFont"/>
    <w:uiPriority w:val="20"/>
    <w:qFormat/>
    <w:rsid w:val="00DD3BDD"/>
    <w:rPr>
      <w:i/>
      <w:iCs/>
    </w:rPr>
  </w:style>
  <w:style w:type="character" w:customStyle="1" w:styleId="style241">
    <w:name w:val="style241"/>
    <w:basedOn w:val="DefaultParagraphFont"/>
    <w:rsid w:val="00DD3BDD"/>
    <w:rPr>
      <w:sz w:val="25"/>
      <w:szCs w:val="25"/>
    </w:rPr>
  </w:style>
  <w:style w:type="character" w:customStyle="1" w:styleId="link-mailto">
    <w:name w:val="link-mailto"/>
    <w:basedOn w:val="DefaultParagraphFont"/>
    <w:rsid w:val="00DD3BDD"/>
  </w:style>
  <w:style w:type="paragraph" w:customStyle="1" w:styleId="left">
    <w:name w:val="left"/>
    <w:basedOn w:val="Normal"/>
    <w:rsid w:val="00DD3BDD"/>
    <w:pPr>
      <w:spacing w:before="100" w:beforeAutospacing="1" w:after="100" w:afterAutospacing="1"/>
    </w:pPr>
    <w:rPr>
      <w:rFonts w:ascii="Droid Sans" w:eastAsia="Times New Roman" w:hAnsi="Droid Sans"/>
      <w:color w:val="000000"/>
      <w:sz w:val="27"/>
      <w:szCs w:val="27"/>
    </w:rPr>
  </w:style>
  <w:style w:type="character" w:customStyle="1" w:styleId="bodycontent1">
    <w:name w:val="bodycontent1"/>
    <w:basedOn w:val="DefaultParagraphFont"/>
    <w:rsid w:val="00DD3BDD"/>
    <w:rPr>
      <w:rFonts w:ascii="Verdana" w:hAnsi="Verdana" w:hint="default"/>
      <w:b w:val="0"/>
      <w:bCs w:val="0"/>
      <w:i w:val="0"/>
      <w:iCs w:val="0"/>
      <w:smallCaps w:val="0"/>
      <w:color w:val="333333"/>
      <w:sz w:val="23"/>
      <w:szCs w:val="23"/>
    </w:rPr>
  </w:style>
  <w:style w:type="character" w:customStyle="1" w:styleId="textstyle11">
    <w:name w:val="textstyle11"/>
    <w:basedOn w:val="DefaultParagraphFont"/>
    <w:rsid w:val="00DD3BDD"/>
    <w:rPr>
      <w:rFonts w:ascii="Arial" w:hAnsi="Arial" w:cs="Arial" w:hint="default"/>
      <w:b/>
      <w:bCs/>
      <w:i w:val="0"/>
      <w:iCs w:val="0"/>
      <w:strike w:val="0"/>
      <w:dstrike w:val="0"/>
      <w:color w:val="643200"/>
      <w:sz w:val="28"/>
      <w:szCs w:val="28"/>
      <w:u w:val="none"/>
      <w:effect w:val="none"/>
    </w:rPr>
  </w:style>
  <w:style w:type="character" w:styleId="CommentReference">
    <w:name w:val="annotation reference"/>
    <w:basedOn w:val="DefaultParagraphFont"/>
    <w:uiPriority w:val="99"/>
    <w:semiHidden/>
    <w:unhideWhenUsed/>
    <w:rsid w:val="00BE1AD7"/>
    <w:rPr>
      <w:sz w:val="16"/>
      <w:szCs w:val="16"/>
    </w:rPr>
  </w:style>
  <w:style w:type="paragraph" w:styleId="CommentText">
    <w:name w:val="annotation text"/>
    <w:basedOn w:val="Normal"/>
    <w:link w:val="CommentTextChar"/>
    <w:uiPriority w:val="99"/>
    <w:semiHidden/>
    <w:unhideWhenUsed/>
    <w:rsid w:val="00BE1AD7"/>
    <w:rPr>
      <w:sz w:val="20"/>
      <w:szCs w:val="20"/>
    </w:rPr>
  </w:style>
  <w:style w:type="character" w:customStyle="1" w:styleId="CommentTextChar">
    <w:name w:val="Comment Text Char"/>
    <w:basedOn w:val="DefaultParagraphFont"/>
    <w:link w:val="CommentText"/>
    <w:uiPriority w:val="99"/>
    <w:semiHidden/>
    <w:rsid w:val="00BE1AD7"/>
  </w:style>
  <w:style w:type="paragraph" w:styleId="CommentSubject">
    <w:name w:val="annotation subject"/>
    <w:basedOn w:val="CommentText"/>
    <w:next w:val="CommentText"/>
    <w:link w:val="CommentSubjectChar"/>
    <w:uiPriority w:val="99"/>
    <w:semiHidden/>
    <w:unhideWhenUsed/>
    <w:rsid w:val="00BE1AD7"/>
    <w:rPr>
      <w:b/>
      <w:bCs/>
    </w:rPr>
  </w:style>
  <w:style w:type="character" w:customStyle="1" w:styleId="CommentSubjectChar">
    <w:name w:val="Comment Subject Char"/>
    <w:basedOn w:val="CommentTextChar"/>
    <w:link w:val="CommentSubject"/>
    <w:uiPriority w:val="99"/>
    <w:semiHidden/>
    <w:rsid w:val="00BE1AD7"/>
    <w:rPr>
      <w:b/>
      <w:bCs/>
    </w:rPr>
  </w:style>
  <w:style w:type="paragraph" w:styleId="Revision">
    <w:name w:val="Revision"/>
    <w:hidden/>
    <w:uiPriority w:val="99"/>
    <w:semiHidden/>
    <w:rsid w:val="00556EED"/>
    <w:rPr>
      <w:sz w:val="24"/>
      <w:szCs w:val="24"/>
    </w:rPr>
  </w:style>
  <w:style w:type="paragraph" w:styleId="PlainText">
    <w:name w:val="Plain Text"/>
    <w:basedOn w:val="Normal"/>
    <w:link w:val="PlainTextChar"/>
    <w:uiPriority w:val="99"/>
    <w:unhideWhenUsed/>
    <w:rsid w:val="00DD247D"/>
    <w:rPr>
      <w:rFonts w:ascii="Consolas" w:hAnsi="Consolas"/>
      <w:sz w:val="21"/>
      <w:szCs w:val="21"/>
    </w:rPr>
  </w:style>
  <w:style w:type="character" w:customStyle="1" w:styleId="PlainTextChar">
    <w:name w:val="Plain Text Char"/>
    <w:basedOn w:val="DefaultParagraphFont"/>
    <w:link w:val="PlainText"/>
    <w:uiPriority w:val="99"/>
    <w:rsid w:val="00DD247D"/>
    <w:rPr>
      <w:rFonts w:ascii="Consolas" w:hAnsi="Consolas"/>
      <w:sz w:val="21"/>
      <w:szCs w:val="21"/>
    </w:rPr>
  </w:style>
  <w:style w:type="paragraph" w:customStyle="1" w:styleId="Normal1">
    <w:name w:val="Normal1"/>
    <w:rsid w:val="00D6753B"/>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73106110">
      <w:bodyDiv w:val="1"/>
      <w:marLeft w:val="0"/>
      <w:marRight w:val="0"/>
      <w:marTop w:val="0"/>
      <w:marBottom w:val="0"/>
      <w:divBdr>
        <w:top w:val="none" w:sz="0" w:space="0" w:color="auto"/>
        <w:left w:val="none" w:sz="0" w:space="0" w:color="auto"/>
        <w:bottom w:val="none" w:sz="0" w:space="0" w:color="auto"/>
        <w:right w:val="none" w:sz="0" w:space="0" w:color="auto"/>
      </w:divBdr>
    </w:div>
    <w:div w:id="201938592">
      <w:bodyDiv w:val="1"/>
      <w:marLeft w:val="0"/>
      <w:marRight w:val="0"/>
      <w:marTop w:val="0"/>
      <w:marBottom w:val="0"/>
      <w:divBdr>
        <w:top w:val="none" w:sz="0" w:space="0" w:color="auto"/>
        <w:left w:val="none" w:sz="0" w:space="0" w:color="auto"/>
        <w:bottom w:val="none" w:sz="0" w:space="0" w:color="auto"/>
        <w:right w:val="none" w:sz="0" w:space="0" w:color="auto"/>
      </w:divBdr>
    </w:div>
    <w:div w:id="249581698">
      <w:bodyDiv w:val="1"/>
      <w:marLeft w:val="0"/>
      <w:marRight w:val="0"/>
      <w:marTop w:val="0"/>
      <w:marBottom w:val="0"/>
      <w:divBdr>
        <w:top w:val="none" w:sz="0" w:space="0" w:color="auto"/>
        <w:left w:val="none" w:sz="0" w:space="0" w:color="auto"/>
        <w:bottom w:val="none" w:sz="0" w:space="0" w:color="auto"/>
        <w:right w:val="none" w:sz="0" w:space="0" w:color="auto"/>
      </w:divBdr>
      <w:divsChild>
        <w:div w:id="1347518180">
          <w:marLeft w:val="0"/>
          <w:marRight w:val="0"/>
          <w:marTop w:val="0"/>
          <w:marBottom w:val="0"/>
          <w:divBdr>
            <w:top w:val="none" w:sz="0" w:space="0" w:color="auto"/>
            <w:left w:val="none" w:sz="0" w:space="0" w:color="auto"/>
            <w:bottom w:val="none" w:sz="0" w:space="0" w:color="auto"/>
            <w:right w:val="none" w:sz="0" w:space="0" w:color="auto"/>
          </w:divBdr>
          <w:divsChild>
            <w:div w:id="1092363088">
              <w:marLeft w:val="0"/>
              <w:marRight w:val="0"/>
              <w:marTop w:val="0"/>
              <w:marBottom w:val="0"/>
              <w:divBdr>
                <w:top w:val="none" w:sz="0" w:space="0" w:color="auto"/>
                <w:left w:val="none" w:sz="0" w:space="0" w:color="auto"/>
                <w:bottom w:val="none" w:sz="0" w:space="0" w:color="auto"/>
                <w:right w:val="none" w:sz="0" w:space="0" w:color="auto"/>
              </w:divBdr>
              <w:divsChild>
                <w:div w:id="2052876904">
                  <w:marLeft w:val="0"/>
                  <w:marRight w:val="0"/>
                  <w:marTop w:val="0"/>
                  <w:marBottom w:val="0"/>
                  <w:divBdr>
                    <w:top w:val="none" w:sz="0" w:space="0" w:color="auto"/>
                    <w:left w:val="none" w:sz="0" w:space="0" w:color="auto"/>
                    <w:bottom w:val="none" w:sz="0" w:space="0" w:color="auto"/>
                    <w:right w:val="none" w:sz="0" w:space="0" w:color="auto"/>
                  </w:divBdr>
                  <w:divsChild>
                    <w:div w:id="708843708">
                      <w:marLeft w:val="0"/>
                      <w:marRight w:val="0"/>
                      <w:marTop w:val="0"/>
                      <w:marBottom w:val="0"/>
                      <w:divBdr>
                        <w:top w:val="none" w:sz="0" w:space="0" w:color="auto"/>
                        <w:left w:val="none" w:sz="0" w:space="0" w:color="auto"/>
                        <w:bottom w:val="none" w:sz="0" w:space="0" w:color="auto"/>
                        <w:right w:val="none" w:sz="0" w:space="0" w:color="auto"/>
                      </w:divBdr>
                      <w:divsChild>
                        <w:div w:id="1293631674">
                          <w:marLeft w:val="0"/>
                          <w:marRight w:val="0"/>
                          <w:marTop w:val="0"/>
                          <w:marBottom w:val="0"/>
                          <w:divBdr>
                            <w:top w:val="none" w:sz="0" w:space="0" w:color="auto"/>
                            <w:left w:val="none" w:sz="0" w:space="0" w:color="auto"/>
                            <w:bottom w:val="none" w:sz="0" w:space="0" w:color="auto"/>
                            <w:right w:val="none" w:sz="0" w:space="0" w:color="auto"/>
                          </w:divBdr>
                          <w:divsChild>
                            <w:div w:id="2040079097">
                              <w:marLeft w:val="0"/>
                              <w:marRight w:val="0"/>
                              <w:marTop w:val="0"/>
                              <w:marBottom w:val="0"/>
                              <w:divBdr>
                                <w:top w:val="none" w:sz="0" w:space="0" w:color="auto"/>
                                <w:left w:val="none" w:sz="0" w:space="0" w:color="auto"/>
                                <w:bottom w:val="none" w:sz="0" w:space="0" w:color="auto"/>
                                <w:right w:val="none" w:sz="0" w:space="0" w:color="auto"/>
                              </w:divBdr>
                              <w:divsChild>
                                <w:div w:id="1108543395">
                                  <w:marLeft w:val="0"/>
                                  <w:marRight w:val="0"/>
                                  <w:marTop w:val="0"/>
                                  <w:marBottom w:val="0"/>
                                  <w:divBdr>
                                    <w:top w:val="none" w:sz="0" w:space="0" w:color="auto"/>
                                    <w:left w:val="none" w:sz="0" w:space="0" w:color="auto"/>
                                    <w:bottom w:val="none" w:sz="0" w:space="0" w:color="auto"/>
                                    <w:right w:val="none" w:sz="0" w:space="0" w:color="auto"/>
                                  </w:divBdr>
                                  <w:divsChild>
                                    <w:div w:id="1527645042">
                                      <w:marLeft w:val="0"/>
                                      <w:marRight w:val="0"/>
                                      <w:marTop w:val="0"/>
                                      <w:marBottom w:val="0"/>
                                      <w:divBdr>
                                        <w:top w:val="none" w:sz="0" w:space="0" w:color="auto"/>
                                        <w:left w:val="none" w:sz="0" w:space="0" w:color="auto"/>
                                        <w:bottom w:val="none" w:sz="0" w:space="0" w:color="auto"/>
                                        <w:right w:val="none" w:sz="0" w:space="0" w:color="auto"/>
                                      </w:divBdr>
                                      <w:divsChild>
                                        <w:div w:id="1126701504">
                                          <w:marLeft w:val="0"/>
                                          <w:marRight w:val="0"/>
                                          <w:marTop w:val="0"/>
                                          <w:marBottom w:val="0"/>
                                          <w:divBdr>
                                            <w:top w:val="none" w:sz="0" w:space="0" w:color="auto"/>
                                            <w:left w:val="none" w:sz="0" w:space="0" w:color="auto"/>
                                            <w:bottom w:val="none" w:sz="0" w:space="0" w:color="auto"/>
                                            <w:right w:val="none" w:sz="0" w:space="0" w:color="auto"/>
                                          </w:divBdr>
                                          <w:divsChild>
                                            <w:div w:id="14571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218281">
      <w:bodyDiv w:val="1"/>
      <w:marLeft w:val="0"/>
      <w:marRight w:val="0"/>
      <w:marTop w:val="0"/>
      <w:marBottom w:val="0"/>
      <w:divBdr>
        <w:top w:val="none" w:sz="0" w:space="0" w:color="auto"/>
        <w:left w:val="none" w:sz="0" w:space="0" w:color="auto"/>
        <w:bottom w:val="none" w:sz="0" w:space="0" w:color="auto"/>
        <w:right w:val="none" w:sz="0" w:space="0" w:color="auto"/>
      </w:divBdr>
    </w:div>
    <w:div w:id="645161922">
      <w:bodyDiv w:val="1"/>
      <w:marLeft w:val="0"/>
      <w:marRight w:val="0"/>
      <w:marTop w:val="0"/>
      <w:marBottom w:val="0"/>
      <w:divBdr>
        <w:top w:val="none" w:sz="0" w:space="0" w:color="auto"/>
        <w:left w:val="none" w:sz="0" w:space="0" w:color="auto"/>
        <w:bottom w:val="none" w:sz="0" w:space="0" w:color="auto"/>
        <w:right w:val="none" w:sz="0" w:space="0" w:color="auto"/>
      </w:divBdr>
    </w:div>
    <w:div w:id="740443808">
      <w:bodyDiv w:val="1"/>
      <w:marLeft w:val="0"/>
      <w:marRight w:val="0"/>
      <w:marTop w:val="0"/>
      <w:marBottom w:val="0"/>
      <w:divBdr>
        <w:top w:val="none" w:sz="0" w:space="0" w:color="auto"/>
        <w:left w:val="none" w:sz="0" w:space="0" w:color="auto"/>
        <w:bottom w:val="none" w:sz="0" w:space="0" w:color="auto"/>
        <w:right w:val="none" w:sz="0" w:space="0" w:color="auto"/>
      </w:divBdr>
    </w:div>
    <w:div w:id="973678323">
      <w:bodyDiv w:val="1"/>
      <w:marLeft w:val="0"/>
      <w:marRight w:val="0"/>
      <w:marTop w:val="0"/>
      <w:marBottom w:val="0"/>
      <w:divBdr>
        <w:top w:val="none" w:sz="0" w:space="0" w:color="auto"/>
        <w:left w:val="none" w:sz="0" w:space="0" w:color="auto"/>
        <w:bottom w:val="none" w:sz="0" w:space="0" w:color="auto"/>
        <w:right w:val="none" w:sz="0" w:space="0" w:color="auto"/>
      </w:divBdr>
    </w:div>
    <w:div w:id="1284579787">
      <w:bodyDiv w:val="1"/>
      <w:marLeft w:val="0"/>
      <w:marRight w:val="0"/>
      <w:marTop w:val="0"/>
      <w:marBottom w:val="0"/>
      <w:divBdr>
        <w:top w:val="none" w:sz="0" w:space="0" w:color="auto"/>
        <w:left w:val="none" w:sz="0" w:space="0" w:color="auto"/>
        <w:bottom w:val="none" w:sz="0" w:space="0" w:color="auto"/>
        <w:right w:val="none" w:sz="0" w:space="0" w:color="auto"/>
      </w:divBdr>
    </w:div>
    <w:div w:id="1452045836">
      <w:bodyDiv w:val="1"/>
      <w:marLeft w:val="0"/>
      <w:marRight w:val="0"/>
      <w:marTop w:val="0"/>
      <w:marBottom w:val="0"/>
      <w:divBdr>
        <w:top w:val="none" w:sz="0" w:space="0" w:color="auto"/>
        <w:left w:val="none" w:sz="0" w:space="0" w:color="auto"/>
        <w:bottom w:val="none" w:sz="0" w:space="0" w:color="auto"/>
        <w:right w:val="none" w:sz="0" w:space="0" w:color="auto"/>
      </w:divBdr>
    </w:div>
    <w:div w:id="1784035914">
      <w:bodyDiv w:val="1"/>
      <w:marLeft w:val="0"/>
      <w:marRight w:val="0"/>
      <w:marTop w:val="0"/>
      <w:marBottom w:val="0"/>
      <w:divBdr>
        <w:top w:val="none" w:sz="0" w:space="0" w:color="auto"/>
        <w:left w:val="none" w:sz="0" w:space="0" w:color="auto"/>
        <w:bottom w:val="none" w:sz="0" w:space="0" w:color="auto"/>
        <w:right w:val="none" w:sz="0" w:space="0" w:color="auto"/>
      </w:divBdr>
    </w:div>
    <w:div w:id="1870219296">
      <w:bodyDiv w:val="1"/>
      <w:marLeft w:val="0"/>
      <w:marRight w:val="0"/>
      <w:marTop w:val="0"/>
      <w:marBottom w:val="0"/>
      <w:divBdr>
        <w:top w:val="none" w:sz="0" w:space="0" w:color="auto"/>
        <w:left w:val="none" w:sz="0" w:space="0" w:color="auto"/>
        <w:bottom w:val="none" w:sz="0" w:space="0" w:color="auto"/>
        <w:right w:val="none" w:sz="0" w:space="0" w:color="auto"/>
      </w:divBdr>
    </w:div>
    <w:div w:id="195455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boonecounty.local\work1\FolderRedirect\CCS-Boone\Documents\MKresse\My%20Documents\Board\Annual%20and%20Quarterly%20Reports\FY18%20Annual%20Report\Indicator%20Chart%20FY18.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boonecounty.local\work1\FolderRedirect\CCS-Boone\Documents\MKresse\My%20Documents\Board\Annual%20and%20Quarterly%20Reports\FY18%20Annual%20Report\Indicator%20Chart%20FY18.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boonecounty.local\work1\FolderRedirect\CCS-Boone\Documents\MKresse\My%20Documents\Board\Annual%20and%20Quarterly%20Reports\FY18%20Annual%20Report\Indicator%20Chart%20FY18.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boonecounty.local\work1\FolderRedirect\CCS-Boone\Documents\MKresse\My%20Documents\Board\Annual%20and%20Quarterly%20Reports\FY18%20Annual%20Report\Indicator%20Chart%20FY18.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boonecounty.local\work1\FolderRedirect\CCS-Boone\Documents\MKresse\My%20Documents\Board\Annual%20and%20Quarterly%20Reports\FY18%20Annual%20Report\Indicator%20Chart%20FY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en-US" sz="1600"/>
              <a:t>Kindergarten Children Proficient on FAST Assessment</a:t>
            </a:r>
          </a:p>
        </c:rich>
      </c:tx>
      <c:layout>
        <c:manualLayout>
          <c:xMode val="edge"/>
          <c:yMode val="edge"/>
          <c:x val="0.18837059765810077"/>
          <c:y val="4.9242540070840723E-2"/>
        </c:manualLayout>
      </c:layout>
    </c:title>
    <c:plotArea>
      <c:layout>
        <c:manualLayout>
          <c:layoutTarget val="inner"/>
          <c:xMode val="edge"/>
          <c:yMode val="edge"/>
          <c:x val="7.1485835044258483E-2"/>
          <c:y val="0.25899714598781948"/>
          <c:w val="0.77685058252610983"/>
          <c:h val="0.5090296667462022"/>
        </c:manualLayout>
      </c:layout>
      <c:lineChart>
        <c:grouping val="standard"/>
        <c:ser>
          <c:idx val="0"/>
          <c:order val="0"/>
          <c:tx>
            <c:v>BooSt</c:v>
          </c:tx>
          <c:cat>
            <c:strRef>
              <c:f>Indicators!$C$11:$G$11</c:f>
              <c:strCache>
                <c:ptCount val="5"/>
                <c:pt idx="0">
                  <c:v>2014</c:v>
                </c:pt>
                <c:pt idx="1">
                  <c:v>2015</c:v>
                </c:pt>
                <c:pt idx="2">
                  <c:v>2016</c:v>
                </c:pt>
                <c:pt idx="3">
                  <c:v>2017</c:v>
                </c:pt>
                <c:pt idx="4">
                  <c:v>2022 Goal</c:v>
                </c:pt>
              </c:strCache>
            </c:strRef>
          </c:cat>
          <c:val>
            <c:numRef>
              <c:f>Indicators!$C$12:$G$12</c:f>
              <c:numCache>
                <c:formatCode>0%</c:formatCode>
                <c:ptCount val="5"/>
                <c:pt idx="0">
                  <c:v>0.65000000000000058</c:v>
                </c:pt>
                <c:pt idx="1">
                  <c:v>0.76500000000000046</c:v>
                </c:pt>
                <c:pt idx="2">
                  <c:v>0.78</c:v>
                </c:pt>
                <c:pt idx="3">
                  <c:v>0.80500000000000005</c:v>
                </c:pt>
                <c:pt idx="4">
                  <c:v>0.85000000000000042</c:v>
                </c:pt>
              </c:numCache>
            </c:numRef>
          </c:val>
        </c:ser>
        <c:ser>
          <c:idx val="1"/>
          <c:order val="1"/>
          <c:tx>
            <c:v>State</c:v>
          </c:tx>
          <c:cat>
            <c:strRef>
              <c:f>Indicators!$C$11:$G$11</c:f>
              <c:strCache>
                <c:ptCount val="5"/>
                <c:pt idx="0">
                  <c:v>2014</c:v>
                </c:pt>
                <c:pt idx="1">
                  <c:v>2015</c:v>
                </c:pt>
                <c:pt idx="2">
                  <c:v>2016</c:v>
                </c:pt>
                <c:pt idx="3">
                  <c:v>2017</c:v>
                </c:pt>
                <c:pt idx="4">
                  <c:v>2022 Goal</c:v>
                </c:pt>
              </c:strCache>
            </c:strRef>
          </c:cat>
          <c:val>
            <c:numRef>
              <c:f>Indicators!$C$13:$G$13</c:f>
              <c:numCache>
                <c:formatCode>0%</c:formatCode>
                <c:ptCount val="5"/>
                <c:pt idx="0">
                  <c:v>0.54</c:v>
                </c:pt>
                <c:pt idx="1">
                  <c:v>0.64000000000000046</c:v>
                </c:pt>
                <c:pt idx="2">
                  <c:v>0.68200000000000049</c:v>
                </c:pt>
                <c:pt idx="3">
                  <c:v>0.68000000000000049</c:v>
                </c:pt>
              </c:numCache>
            </c:numRef>
          </c:val>
        </c:ser>
        <c:marker val="1"/>
        <c:axId val="71748608"/>
        <c:axId val="71766784"/>
      </c:lineChart>
      <c:catAx>
        <c:axId val="71748608"/>
        <c:scaling>
          <c:orientation val="minMax"/>
        </c:scaling>
        <c:axPos val="b"/>
        <c:numFmt formatCode="General" sourceLinked="0"/>
        <c:tickLblPos val="nextTo"/>
        <c:crossAx val="71766784"/>
        <c:crosses val="autoZero"/>
        <c:auto val="1"/>
        <c:lblAlgn val="ctr"/>
        <c:lblOffset val="100"/>
      </c:catAx>
      <c:valAx>
        <c:axId val="71766784"/>
        <c:scaling>
          <c:orientation val="minMax"/>
          <c:max val="0.90000000000000102"/>
          <c:min val="0.5"/>
        </c:scaling>
        <c:axPos val="l"/>
        <c:majorGridlines/>
        <c:numFmt formatCode="0%" sourceLinked="1"/>
        <c:tickLblPos val="nextTo"/>
        <c:crossAx val="71748608"/>
        <c:crosses val="autoZero"/>
        <c:crossBetween val="between"/>
        <c:majorUnit val="0.2"/>
      </c:valAx>
    </c:plotArea>
    <c:legend>
      <c:legendPos val="r"/>
      <c:layout/>
      <c:spPr>
        <a:noFill/>
      </c:spP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en-US" sz="1600"/>
              <a:t>No. of CC Providers with</a:t>
            </a:r>
            <a:r>
              <a:rPr lang="en-US" sz="1600" baseline="0"/>
              <a:t> QRS Rating </a:t>
            </a:r>
            <a:r>
              <a:rPr lang="en-US" sz="1600" u="sng" baseline="0"/>
              <a:t>&gt;</a:t>
            </a:r>
            <a:r>
              <a:rPr lang="en-US" sz="1600" baseline="0"/>
              <a:t>3</a:t>
            </a:r>
          </a:p>
        </c:rich>
      </c:tx>
      <c:layout/>
    </c:title>
    <c:plotArea>
      <c:layout>
        <c:manualLayout>
          <c:layoutTarget val="inner"/>
          <c:xMode val="edge"/>
          <c:yMode val="edge"/>
          <c:x val="6.3628349549849098E-2"/>
          <c:y val="0.30369746885087734"/>
          <c:w val="0.74437557875852511"/>
          <c:h val="0.5043358373306801"/>
        </c:manualLayout>
      </c:layout>
      <c:lineChart>
        <c:grouping val="standard"/>
        <c:ser>
          <c:idx val="0"/>
          <c:order val="0"/>
          <c:tx>
            <c:strRef>
              <c:f>Indicators!$B$61</c:f>
              <c:strCache>
                <c:ptCount val="1"/>
                <c:pt idx="0">
                  <c:v>CC Homes</c:v>
                </c:pt>
              </c:strCache>
            </c:strRef>
          </c:tx>
          <c:cat>
            <c:strRef>
              <c:f>Indicators!$C$60:$H$60</c:f>
              <c:strCache>
                <c:ptCount val="6"/>
                <c:pt idx="0">
                  <c:v>2011</c:v>
                </c:pt>
                <c:pt idx="1">
                  <c:v>2015</c:v>
                </c:pt>
                <c:pt idx="2">
                  <c:v>2016</c:v>
                </c:pt>
                <c:pt idx="3">
                  <c:v>2017</c:v>
                </c:pt>
                <c:pt idx="4">
                  <c:v>2018</c:v>
                </c:pt>
                <c:pt idx="5">
                  <c:v>2022  Goal</c:v>
                </c:pt>
              </c:strCache>
            </c:strRef>
          </c:cat>
          <c:val>
            <c:numRef>
              <c:f>Indicators!$C$61:$H$61</c:f>
              <c:numCache>
                <c:formatCode>General</c:formatCode>
                <c:ptCount val="6"/>
                <c:pt idx="0">
                  <c:v>15</c:v>
                </c:pt>
                <c:pt idx="1">
                  <c:v>25</c:v>
                </c:pt>
                <c:pt idx="2">
                  <c:v>19</c:v>
                </c:pt>
                <c:pt idx="3">
                  <c:v>12</c:v>
                </c:pt>
                <c:pt idx="4">
                  <c:v>17</c:v>
                </c:pt>
                <c:pt idx="5">
                  <c:v>24</c:v>
                </c:pt>
              </c:numCache>
            </c:numRef>
          </c:val>
        </c:ser>
        <c:ser>
          <c:idx val="1"/>
          <c:order val="1"/>
          <c:tx>
            <c:strRef>
              <c:f>Indicators!$B$62</c:f>
              <c:strCache>
                <c:ptCount val="1"/>
                <c:pt idx="0">
                  <c:v>CC Centers</c:v>
                </c:pt>
              </c:strCache>
            </c:strRef>
          </c:tx>
          <c:cat>
            <c:strRef>
              <c:f>Indicators!$C$60:$H$60</c:f>
              <c:strCache>
                <c:ptCount val="6"/>
                <c:pt idx="0">
                  <c:v>2011</c:v>
                </c:pt>
                <c:pt idx="1">
                  <c:v>2015</c:v>
                </c:pt>
                <c:pt idx="2">
                  <c:v>2016</c:v>
                </c:pt>
                <c:pt idx="3">
                  <c:v>2017</c:v>
                </c:pt>
                <c:pt idx="4">
                  <c:v>2018</c:v>
                </c:pt>
                <c:pt idx="5">
                  <c:v>2022  Goal</c:v>
                </c:pt>
              </c:strCache>
            </c:strRef>
          </c:cat>
          <c:val>
            <c:numRef>
              <c:f>Indicators!$C$62:$H$62</c:f>
              <c:numCache>
                <c:formatCode>General</c:formatCode>
                <c:ptCount val="6"/>
                <c:pt idx="0">
                  <c:v>10</c:v>
                </c:pt>
                <c:pt idx="1">
                  <c:v>16</c:v>
                </c:pt>
                <c:pt idx="2">
                  <c:v>15</c:v>
                </c:pt>
                <c:pt idx="3">
                  <c:v>10</c:v>
                </c:pt>
                <c:pt idx="4">
                  <c:v>10</c:v>
                </c:pt>
                <c:pt idx="5">
                  <c:v>16</c:v>
                </c:pt>
              </c:numCache>
            </c:numRef>
          </c:val>
        </c:ser>
        <c:marker val="1"/>
        <c:axId val="79140736"/>
        <c:axId val="79142272"/>
      </c:lineChart>
      <c:catAx>
        <c:axId val="79140736"/>
        <c:scaling>
          <c:orientation val="minMax"/>
        </c:scaling>
        <c:axPos val="b"/>
        <c:numFmt formatCode="General" sourceLinked="0"/>
        <c:majorTickMark val="none"/>
        <c:tickLblPos val="nextTo"/>
        <c:crossAx val="79142272"/>
        <c:crosses val="autoZero"/>
        <c:auto val="1"/>
        <c:lblAlgn val="ctr"/>
        <c:lblOffset val="100"/>
      </c:catAx>
      <c:valAx>
        <c:axId val="79142272"/>
        <c:scaling>
          <c:orientation val="minMax"/>
          <c:max val="30"/>
        </c:scaling>
        <c:axPos val="l"/>
        <c:majorGridlines/>
        <c:numFmt formatCode="General" sourceLinked="1"/>
        <c:majorTickMark val="none"/>
        <c:tickLblPos val="nextTo"/>
        <c:crossAx val="79140736"/>
        <c:crosses val="autoZero"/>
        <c:crossBetween val="between"/>
      </c:valAx>
    </c:plotArea>
    <c:legend>
      <c:legendPos val="r"/>
      <c:layout>
        <c:manualLayout>
          <c:xMode val="edge"/>
          <c:yMode val="edge"/>
          <c:x val="0.7949047281809305"/>
          <c:y val="0.4707436570428698"/>
          <c:w val="0.1903640737031341"/>
          <c:h val="0.34609828943795912"/>
        </c:manualLayout>
      </c:layout>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en-US" sz="1600"/>
              <a:t>Abused or Neglected Children under age 6                                                </a:t>
            </a:r>
          </a:p>
        </c:rich>
      </c:tx>
      <c:layout>
        <c:manualLayout>
          <c:xMode val="edge"/>
          <c:yMode val="edge"/>
          <c:x val="0.18862100870484713"/>
          <c:y val="8.3014048531291171E-2"/>
        </c:manualLayout>
      </c:layout>
    </c:title>
    <c:plotArea>
      <c:layout>
        <c:manualLayout>
          <c:layoutTarget val="inner"/>
          <c:xMode val="edge"/>
          <c:yMode val="edge"/>
          <c:x val="8.1793840518136707E-2"/>
          <c:y val="0.32369847447230032"/>
          <c:w val="0.7700993221171144"/>
          <c:h val="0.4607415452378798"/>
        </c:manualLayout>
      </c:layout>
      <c:lineChart>
        <c:grouping val="standard"/>
        <c:ser>
          <c:idx val="1"/>
          <c:order val="0"/>
          <c:tx>
            <c:strRef>
              <c:f>Indicators!$B$35</c:f>
              <c:strCache>
                <c:ptCount val="1"/>
                <c:pt idx="0">
                  <c:v>Boone Co.</c:v>
                </c:pt>
              </c:strCache>
            </c:strRef>
          </c:tx>
          <c:spPr>
            <a:ln>
              <a:solidFill>
                <a:srgbClr val="357095"/>
              </a:solidFill>
            </a:ln>
          </c:spPr>
          <c:marker>
            <c:spPr>
              <a:solidFill>
                <a:srgbClr val="357095"/>
              </a:solidFill>
              <a:ln>
                <a:solidFill>
                  <a:srgbClr val="357095"/>
                </a:solidFill>
              </a:ln>
            </c:spPr>
          </c:marker>
          <c:cat>
            <c:strRef>
              <c:f>Indicators!$C$34:$H$34</c:f>
              <c:strCache>
                <c:ptCount val="6"/>
                <c:pt idx="0">
                  <c:v>2010</c:v>
                </c:pt>
                <c:pt idx="1">
                  <c:v>2014</c:v>
                </c:pt>
                <c:pt idx="2">
                  <c:v>2015</c:v>
                </c:pt>
                <c:pt idx="3">
                  <c:v>2016</c:v>
                </c:pt>
                <c:pt idx="4">
                  <c:v>2017</c:v>
                </c:pt>
                <c:pt idx="5">
                  <c:v>2022 Goal</c:v>
                </c:pt>
              </c:strCache>
            </c:strRef>
          </c:cat>
          <c:val>
            <c:numRef>
              <c:f>Indicators!$C$35:$H$35</c:f>
              <c:numCache>
                <c:formatCode>General</c:formatCode>
                <c:ptCount val="6"/>
                <c:pt idx="0">
                  <c:v>47</c:v>
                </c:pt>
                <c:pt idx="1">
                  <c:v>31</c:v>
                </c:pt>
                <c:pt idx="2">
                  <c:v>41</c:v>
                </c:pt>
                <c:pt idx="3">
                  <c:v>54</c:v>
                </c:pt>
                <c:pt idx="4">
                  <c:v>36</c:v>
                </c:pt>
                <c:pt idx="5">
                  <c:v>20</c:v>
                </c:pt>
              </c:numCache>
            </c:numRef>
          </c:val>
        </c:ser>
        <c:ser>
          <c:idx val="2"/>
          <c:order val="1"/>
          <c:tx>
            <c:strRef>
              <c:f>Indicators!$B$36</c:f>
              <c:strCache>
                <c:ptCount val="1"/>
                <c:pt idx="0">
                  <c:v>Story Co.</c:v>
                </c:pt>
              </c:strCache>
            </c:strRef>
          </c:tx>
          <c:spPr>
            <a:ln>
              <a:solidFill>
                <a:srgbClr val="A63A24"/>
              </a:solidFill>
            </a:ln>
          </c:spPr>
          <c:marker>
            <c:spPr>
              <a:solidFill>
                <a:srgbClr val="A63A24"/>
              </a:solidFill>
              <a:ln>
                <a:solidFill>
                  <a:srgbClr val="A63A24"/>
                </a:solidFill>
              </a:ln>
            </c:spPr>
          </c:marker>
          <c:cat>
            <c:strRef>
              <c:f>Indicators!$C$34:$H$34</c:f>
              <c:strCache>
                <c:ptCount val="6"/>
                <c:pt idx="0">
                  <c:v>2010</c:v>
                </c:pt>
                <c:pt idx="1">
                  <c:v>2014</c:v>
                </c:pt>
                <c:pt idx="2">
                  <c:v>2015</c:v>
                </c:pt>
                <c:pt idx="3">
                  <c:v>2016</c:v>
                </c:pt>
                <c:pt idx="4">
                  <c:v>2017</c:v>
                </c:pt>
                <c:pt idx="5">
                  <c:v>2022 Goal</c:v>
                </c:pt>
              </c:strCache>
            </c:strRef>
          </c:cat>
          <c:val>
            <c:numRef>
              <c:f>Indicators!$C$36:$H$36</c:f>
              <c:numCache>
                <c:formatCode>General</c:formatCode>
                <c:ptCount val="6"/>
                <c:pt idx="0">
                  <c:v>138</c:v>
                </c:pt>
                <c:pt idx="1">
                  <c:v>71</c:v>
                </c:pt>
                <c:pt idx="2">
                  <c:v>66</c:v>
                </c:pt>
                <c:pt idx="3">
                  <c:v>85</c:v>
                </c:pt>
                <c:pt idx="4">
                  <c:v>105</c:v>
                </c:pt>
                <c:pt idx="5">
                  <c:v>60</c:v>
                </c:pt>
              </c:numCache>
            </c:numRef>
          </c:val>
        </c:ser>
        <c:marker val="1"/>
        <c:axId val="54280576"/>
        <c:axId val="54282112"/>
      </c:lineChart>
      <c:catAx>
        <c:axId val="54280576"/>
        <c:scaling>
          <c:orientation val="minMax"/>
        </c:scaling>
        <c:axPos val="b"/>
        <c:numFmt formatCode="General" sourceLinked="0"/>
        <c:tickLblPos val="nextTo"/>
        <c:crossAx val="54282112"/>
        <c:crosses val="autoZero"/>
        <c:auto val="1"/>
        <c:lblAlgn val="ctr"/>
        <c:lblOffset val="100"/>
      </c:catAx>
      <c:valAx>
        <c:axId val="54282112"/>
        <c:scaling>
          <c:orientation val="minMax"/>
        </c:scaling>
        <c:axPos val="l"/>
        <c:majorGridlines/>
        <c:numFmt formatCode="General" sourceLinked="1"/>
        <c:tickLblPos val="nextTo"/>
        <c:crossAx val="54280576"/>
        <c:crosses val="autoZero"/>
        <c:crossBetween val="between"/>
      </c:valAx>
    </c:plotArea>
    <c:legend>
      <c:legendPos val="r"/>
      <c:layout/>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en-US" sz="1600"/>
              <a:t>2</a:t>
            </a:r>
            <a:r>
              <a:rPr lang="en-US" sz="1600" baseline="0"/>
              <a:t> </a:t>
            </a:r>
            <a:r>
              <a:rPr lang="en-US" sz="1600"/>
              <a:t>Y.O. Children Immunization Rates</a:t>
            </a:r>
          </a:p>
        </c:rich>
      </c:tx>
      <c:layout>
        <c:manualLayout>
          <c:xMode val="edge"/>
          <c:yMode val="edge"/>
          <c:x val="0.22657489756226612"/>
          <c:y val="4.9242424242424671E-2"/>
        </c:manualLayout>
      </c:layout>
    </c:title>
    <c:plotArea>
      <c:layout>
        <c:manualLayout>
          <c:layoutTarget val="inner"/>
          <c:xMode val="edge"/>
          <c:yMode val="edge"/>
          <c:x val="7.7508871391076109E-2"/>
          <c:y val="0.30712459174114592"/>
          <c:w val="0.77685058252611006"/>
          <c:h val="0.44472111805959924"/>
        </c:manualLayout>
      </c:layout>
      <c:lineChart>
        <c:grouping val="standard"/>
        <c:ser>
          <c:idx val="0"/>
          <c:order val="0"/>
          <c:tx>
            <c:v>Boone Co.</c:v>
          </c:tx>
          <c:cat>
            <c:strRef>
              <c:f>Indicators!$C$23:$H$23</c:f>
              <c:strCache>
                <c:ptCount val="6"/>
                <c:pt idx="0">
                  <c:v>2010</c:v>
                </c:pt>
                <c:pt idx="1">
                  <c:v>2013</c:v>
                </c:pt>
                <c:pt idx="2">
                  <c:v>2014</c:v>
                </c:pt>
                <c:pt idx="3">
                  <c:v>2015</c:v>
                </c:pt>
                <c:pt idx="4">
                  <c:v>2016</c:v>
                </c:pt>
                <c:pt idx="5">
                  <c:v>2022 Goal</c:v>
                </c:pt>
              </c:strCache>
            </c:strRef>
          </c:cat>
          <c:val>
            <c:numRef>
              <c:f>Indicators!$C$24:$H$24</c:f>
              <c:numCache>
                <c:formatCode>0%</c:formatCode>
                <c:ptCount val="6"/>
                <c:pt idx="0">
                  <c:v>0.78</c:v>
                </c:pt>
                <c:pt idx="1">
                  <c:v>0.79</c:v>
                </c:pt>
                <c:pt idx="2">
                  <c:v>0.77000000000000102</c:v>
                </c:pt>
                <c:pt idx="3">
                  <c:v>0.77000000000000102</c:v>
                </c:pt>
                <c:pt idx="4">
                  <c:v>0.68</c:v>
                </c:pt>
                <c:pt idx="5">
                  <c:v>0.95000000000000062</c:v>
                </c:pt>
              </c:numCache>
            </c:numRef>
          </c:val>
        </c:ser>
        <c:ser>
          <c:idx val="1"/>
          <c:order val="1"/>
          <c:tx>
            <c:v>Story Co.</c:v>
          </c:tx>
          <c:cat>
            <c:strRef>
              <c:f>Indicators!$C$23:$H$23</c:f>
              <c:strCache>
                <c:ptCount val="6"/>
                <c:pt idx="0">
                  <c:v>2010</c:v>
                </c:pt>
                <c:pt idx="1">
                  <c:v>2013</c:v>
                </c:pt>
                <c:pt idx="2">
                  <c:v>2014</c:v>
                </c:pt>
                <c:pt idx="3">
                  <c:v>2015</c:v>
                </c:pt>
                <c:pt idx="4">
                  <c:v>2016</c:v>
                </c:pt>
                <c:pt idx="5">
                  <c:v>2022 Goal</c:v>
                </c:pt>
              </c:strCache>
            </c:strRef>
          </c:cat>
          <c:val>
            <c:numRef>
              <c:f>Indicators!$C$25:$H$25</c:f>
              <c:numCache>
                <c:formatCode>0%</c:formatCode>
                <c:ptCount val="6"/>
                <c:pt idx="0">
                  <c:v>0.81</c:v>
                </c:pt>
                <c:pt idx="1">
                  <c:v>0.81</c:v>
                </c:pt>
                <c:pt idx="2">
                  <c:v>0.750000000000001</c:v>
                </c:pt>
                <c:pt idx="3">
                  <c:v>0.750000000000001</c:v>
                </c:pt>
                <c:pt idx="4">
                  <c:v>0.77000000000000102</c:v>
                </c:pt>
                <c:pt idx="5">
                  <c:v>0.95000000000000062</c:v>
                </c:pt>
              </c:numCache>
            </c:numRef>
          </c:val>
        </c:ser>
        <c:marker val="1"/>
        <c:axId val="54291456"/>
        <c:axId val="54313728"/>
      </c:lineChart>
      <c:catAx>
        <c:axId val="54291456"/>
        <c:scaling>
          <c:orientation val="minMax"/>
        </c:scaling>
        <c:axPos val="b"/>
        <c:numFmt formatCode="General" sourceLinked="0"/>
        <c:tickLblPos val="nextTo"/>
        <c:crossAx val="54313728"/>
        <c:crosses val="autoZero"/>
        <c:auto val="1"/>
        <c:lblAlgn val="ctr"/>
        <c:lblOffset val="100"/>
      </c:catAx>
      <c:valAx>
        <c:axId val="54313728"/>
        <c:scaling>
          <c:orientation val="minMax"/>
          <c:max val="1"/>
          <c:min val="0.60000000000000064"/>
        </c:scaling>
        <c:axPos val="l"/>
        <c:majorGridlines/>
        <c:numFmt formatCode="0%" sourceLinked="1"/>
        <c:tickLblPos val="nextTo"/>
        <c:crossAx val="54291456"/>
        <c:crosses val="autoZero"/>
        <c:crossBetween val="between"/>
        <c:majorUnit val="0.2"/>
      </c:valAx>
    </c:plotArea>
    <c:legend>
      <c:legendPos val="r"/>
      <c:layout/>
      <c:spPr>
        <a:noFill/>
      </c:spPr>
    </c:legend>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en-US" sz="1600"/>
              <a:t>% of Children 5 and Younger in Poverty</a:t>
            </a:r>
          </a:p>
        </c:rich>
      </c:tx>
      <c:layout>
        <c:manualLayout>
          <c:xMode val="edge"/>
          <c:yMode val="edge"/>
          <c:x val="0.21719444444444594"/>
          <c:y val="3.2407407407407683E-2"/>
        </c:manualLayout>
      </c:layout>
    </c:title>
    <c:plotArea>
      <c:layout/>
      <c:lineChart>
        <c:grouping val="standard"/>
        <c:ser>
          <c:idx val="0"/>
          <c:order val="0"/>
          <c:tx>
            <c:strRef>
              <c:f>Indicators!$B$48</c:f>
              <c:strCache>
                <c:ptCount val="1"/>
                <c:pt idx="0">
                  <c:v>Boone Co.</c:v>
                </c:pt>
              </c:strCache>
            </c:strRef>
          </c:tx>
          <c:cat>
            <c:strRef>
              <c:f>Indicators!$C$47:$H$47</c:f>
              <c:strCache>
                <c:ptCount val="6"/>
                <c:pt idx="0">
                  <c:v>2000</c:v>
                </c:pt>
                <c:pt idx="1">
                  <c:v>2013</c:v>
                </c:pt>
                <c:pt idx="2">
                  <c:v>2014</c:v>
                </c:pt>
                <c:pt idx="3">
                  <c:v>2015</c:v>
                </c:pt>
                <c:pt idx="4">
                  <c:v>2016</c:v>
                </c:pt>
                <c:pt idx="5">
                  <c:v>2022  Goal</c:v>
                </c:pt>
              </c:strCache>
            </c:strRef>
          </c:cat>
          <c:val>
            <c:numRef>
              <c:f>Indicators!$C$48:$H$48</c:f>
              <c:numCache>
                <c:formatCode>0.0%</c:formatCode>
                <c:ptCount val="6"/>
                <c:pt idx="0">
                  <c:v>0.11600000000000002</c:v>
                </c:pt>
                <c:pt idx="1">
                  <c:v>0.14300000000000004</c:v>
                </c:pt>
                <c:pt idx="2">
                  <c:v>0.12200000000000009</c:v>
                </c:pt>
                <c:pt idx="3">
                  <c:v>0.114</c:v>
                </c:pt>
                <c:pt idx="4">
                  <c:v>0.10100000000000002</c:v>
                </c:pt>
                <c:pt idx="5">
                  <c:v>7.0000000000000021E-2</c:v>
                </c:pt>
              </c:numCache>
            </c:numRef>
          </c:val>
        </c:ser>
        <c:ser>
          <c:idx val="1"/>
          <c:order val="1"/>
          <c:tx>
            <c:strRef>
              <c:f>Indicators!$B$49</c:f>
              <c:strCache>
                <c:ptCount val="1"/>
                <c:pt idx="0">
                  <c:v>Story Co.</c:v>
                </c:pt>
              </c:strCache>
            </c:strRef>
          </c:tx>
          <c:cat>
            <c:strRef>
              <c:f>Indicators!$C$47:$H$47</c:f>
              <c:strCache>
                <c:ptCount val="6"/>
                <c:pt idx="0">
                  <c:v>2000</c:v>
                </c:pt>
                <c:pt idx="1">
                  <c:v>2013</c:v>
                </c:pt>
                <c:pt idx="2">
                  <c:v>2014</c:v>
                </c:pt>
                <c:pt idx="3">
                  <c:v>2015</c:v>
                </c:pt>
                <c:pt idx="4">
                  <c:v>2016</c:v>
                </c:pt>
                <c:pt idx="5">
                  <c:v>2022  Goal</c:v>
                </c:pt>
              </c:strCache>
            </c:strRef>
          </c:cat>
          <c:val>
            <c:numRef>
              <c:f>Indicators!$C$49:$H$49</c:f>
              <c:numCache>
                <c:formatCode>0.0%</c:formatCode>
                <c:ptCount val="6"/>
                <c:pt idx="0">
                  <c:v>0.115</c:v>
                </c:pt>
                <c:pt idx="1">
                  <c:v>0.18000000000000022</c:v>
                </c:pt>
                <c:pt idx="2">
                  <c:v>0.12100000000000002</c:v>
                </c:pt>
                <c:pt idx="3">
                  <c:v>0.12200000000000009</c:v>
                </c:pt>
                <c:pt idx="4">
                  <c:v>0.113</c:v>
                </c:pt>
                <c:pt idx="5">
                  <c:v>7.0000000000000021E-2</c:v>
                </c:pt>
              </c:numCache>
            </c:numRef>
          </c:val>
        </c:ser>
        <c:marker val="1"/>
        <c:axId val="76948992"/>
        <c:axId val="76950528"/>
      </c:lineChart>
      <c:catAx>
        <c:axId val="76948992"/>
        <c:scaling>
          <c:orientation val="minMax"/>
        </c:scaling>
        <c:axPos val="b"/>
        <c:numFmt formatCode="General" sourceLinked="0"/>
        <c:tickLblPos val="nextTo"/>
        <c:crossAx val="76950528"/>
        <c:crosses val="autoZero"/>
        <c:auto val="1"/>
        <c:lblAlgn val="ctr"/>
        <c:lblOffset val="100"/>
      </c:catAx>
      <c:valAx>
        <c:axId val="76950528"/>
        <c:scaling>
          <c:orientation val="minMax"/>
          <c:max val="0.18000000000000024"/>
          <c:min val="4.0000000000000022E-2"/>
        </c:scaling>
        <c:axPos val="l"/>
        <c:majorGridlines/>
        <c:numFmt formatCode="0.0%" sourceLinked="1"/>
        <c:tickLblPos val="nextTo"/>
        <c:crossAx val="76948992"/>
        <c:crosses val="autoZero"/>
        <c:crossBetween val="between"/>
      </c:valAx>
    </c:plotArea>
    <c:legend>
      <c:legendPos val="r"/>
      <c:layout>
        <c:manualLayout>
          <c:xMode val="edge"/>
          <c:yMode val="edge"/>
          <c:x val="0.79209750870613449"/>
          <c:y val="0.1793705195527957"/>
          <c:w val="0.20254487007768551"/>
          <c:h val="0.2530848619429934"/>
        </c:manualLayout>
      </c:layout>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0.00862</cdr:x>
      <cdr:y>0.87444</cdr:y>
    </cdr:from>
    <cdr:to>
      <cdr:x>0.3908</cdr:x>
      <cdr:y>0.99103</cdr:y>
    </cdr:to>
    <cdr:sp macro="" textlink="">
      <cdr:nvSpPr>
        <cdr:cNvPr id="2" name="TextBox 1"/>
        <cdr:cNvSpPr txBox="1"/>
      </cdr:nvSpPr>
      <cdr:spPr>
        <a:xfrm xmlns:a="http://schemas.openxmlformats.org/drawingml/2006/main">
          <a:off x="45720" y="1485900"/>
          <a:ext cx="2026920" cy="198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0.01868</cdr:x>
      <cdr:y>0.89238</cdr:y>
    </cdr:from>
    <cdr:to>
      <cdr:x>0.39943</cdr:x>
      <cdr:y>0.99552</cdr:y>
    </cdr:to>
    <cdr:sp macro="" textlink="">
      <cdr:nvSpPr>
        <cdr:cNvPr id="3" name="TextBox 2"/>
        <cdr:cNvSpPr txBox="1"/>
      </cdr:nvSpPr>
      <cdr:spPr>
        <a:xfrm xmlns:a="http://schemas.openxmlformats.org/drawingml/2006/main">
          <a:off x="99060" y="1516380"/>
          <a:ext cx="2019300" cy="1752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Source: Iowa Department of Education</a:t>
          </a:r>
        </a:p>
        <a:p xmlns:a="http://schemas.openxmlformats.org/drawingml/2006/main">
          <a:endParaRPr lang="en-US" sz="800"/>
        </a:p>
      </cdr:txBody>
    </cdr:sp>
  </cdr:relSizeAnchor>
</c:userShapes>
</file>

<file path=word/drawings/drawing2.xml><?xml version="1.0" encoding="utf-8"?>
<c:userShapes xmlns:c="http://schemas.openxmlformats.org/drawingml/2006/chart">
  <cdr:relSizeAnchor xmlns:cdr="http://schemas.openxmlformats.org/drawingml/2006/chartDrawing">
    <cdr:from>
      <cdr:x>0.03577</cdr:x>
      <cdr:y>0.89815</cdr:y>
    </cdr:from>
    <cdr:to>
      <cdr:x>0.65522</cdr:x>
      <cdr:y>1</cdr:y>
    </cdr:to>
    <cdr:sp macro="" textlink="">
      <cdr:nvSpPr>
        <cdr:cNvPr id="2" name="TextBox 1"/>
        <cdr:cNvSpPr txBox="1"/>
      </cdr:nvSpPr>
      <cdr:spPr>
        <a:xfrm xmlns:a="http://schemas.openxmlformats.org/drawingml/2006/main">
          <a:off x="189410" y="1478280"/>
          <a:ext cx="3280579" cy="1676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800">
              <a:latin typeface="+mn-lt"/>
              <a:ea typeface="+mn-ea"/>
              <a:cs typeface="+mn-cs"/>
            </a:rPr>
            <a:t>Source: Iowa Dept of Human Services and CCRR</a:t>
          </a:r>
          <a:endParaRPr lang="en-US" sz="800"/>
        </a:p>
        <a:p xmlns:a="http://schemas.openxmlformats.org/drawingml/2006/main">
          <a:endParaRPr lang="en-US" sz="800"/>
        </a:p>
      </cdr:txBody>
    </cdr:sp>
  </cdr:relSizeAnchor>
</c:userShapes>
</file>

<file path=word/drawings/drawing3.xml><?xml version="1.0" encoding="utf-8"?>
<c:userShapes xmlns:c="http://schemas.openxmlformats.org/drawingml/2006/chart">
  <cdr:relSizeAnchor xmlns:cdr="http://schemas.openxmlformats.org/drawingml/2006/chartDrawing">
    <cdr:from>
      <cdr:x>0.03453</cdr:x>
      <cdr:y>0.54023</cdr:y>
    </cdr:from>
    <cdr:to>
      <cdr:x>0.20719</cdr:x>
      <cdr:y>1</cdr:y>
    </cdr:to>
    <cdr:sp macro="" textlink="">
      <cdr:nvSpPr>
        <cdr:cNvPr id="2" name="TextBox 1"/>
        <cdr:cNvSpPr txBox="1"/>
      </cdr:nvSpPr>
      <cdr:spPr>
        <a:xfrm xmlns:a="http://schemas.openxmlformats.org/drawingml/2006/main">
          <a:off x="182880" y="18745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0.02734</cdr:x>
      <cdr:y>0.85057</cdr:y>
    </cdr:from>
    <cdr:to>
      <cdr:x>0.51079</cdr:x>
      <cdr:y>1</cdr:y>
    </cdr:to>
    <cdr:sp macro="" textlink="">
      <cdr:nvSpPr>
        <cdr:cNvPr id="3" name="TextBox 2"/>
        <cdr:cNvSpPr txBox="1"/>
      </cdr:nvSpPr>
      <cdr:spPr>
        <a:xfrm xmlns:a="http://schemas.openxmlformats.org/drawingml/2006/main">
          <a:off x="144780" y="1706880"/>
          <a:ext cx="2560320" cy="2971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0.02734</cdr:x>
      <cdr:y>0.89655</cdr:y>
    </cdr:from>
    <cdr:to>
      <cdr:x>0.4964</cdr:x>
      <cdr:y>0.99617</cdr:y>
    </cdr:to>
    <cdr:sp macro="" textlink="">
      <cdr:nvSpPr>
        <cdr:cNvPr id="4" name="TextBox 3"/>
        <cdr:cNvSpPr txBox="1"/>
      </cdr:nvSpPr>
      <cdr:spPr>
        <a:xfrm xmlns:a="http://schemas.openxmlformats.org/drawingml/2006/main">
          <a:off x="144780" y="1783080"/>
          <a:ext cx="2484120" cy="198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Source: Iowa Dept of Human Services</a:t>
          </a:r>
        </a:p>
      </cdr:txBody>
    </cdr:sp>
  </cdr:relSizeAnchor>
</c:userShapes>
</file>

<file path=word/drawings/drawing4.xml><?xml version="1.0" encoding="utf-8"?>
<c:userShapes xmlns:c="http://schemas.openxmlformats.org/drawingml/2006/chart">
  <cdr:relSizeAnchor xmlns:cdr="http://schemas.openxmlformats.org/drawingml/2006/chartDrawing">
    <cdr:from>
      <cdr:x>0.00862</cdr:x>
      <cdr:y>0.87444</cdr:y>
    </cdr:from>
    <cdr:to>
      <cdr:x>0.3908</cdr:x>
      <cdr:y>0.99103</cdr:y>
    </cdr:to>
    <cdr:sp macro="" textlink="">
      <cdr:nvSpPr>
        <cdr:cNvPr id="2" name="TextBox 1"/>
        <cdr:cNvSpPr txBox="1"/>
      </cdr:nvSpPr>
      <cdr:spPr>
        <a:xfrm xmlns:a="http://schemas.openxmlformats.org/drawingml/2006/main">
          <a:off x="45720" y="1485900"/>
          <a:ext cx="2026920" cy="198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0.01868</cdr:x>
      <cdr:y>0.89238</cdr:y>
    </cdr:from>
    <cdr:to>
      <cdr:x>0.39943</cdr:x>
      <cdr:y>0.99552</cdr:y>
    </cdr:to>
    <cdr:sp macro="" textlink="">
      <cdr:nvSpPr>
        <cdr:cNvPr id="3" name="TextBox 2"/>
        <cdr:cNvSpPr txBox="1"/>
      </cdr:nvSpPr>
      <cdr:spPr>
        <a:xfrm xmlns:a="http://schemas.openxmlformats.org/drawingml/2006/main">
          <a:off x="99060" y="1516380"/>
          <a:ext cx="2019300" cy="1752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Source: Iowa Department of Public Health</a:t>
          </a:r>
        </a:p>
      </cdr:txBody>
    </cdr:sp>
  </cdr:relSizeAnchor>
</c:userShapes>
</file>

<file path=word/drawings/drawing5.xml><?xml version="1.0" encoding="utf-8"?>
<c:userShapes xmlns:c="http://schemas.openxmlformats.org/drawingml/2006/chart">
  <cdr:relSizeAnchor xmlns:cdr="http://schemas.openxmlformats.org/drawingml/2006/chartDrawing">
    <cdr:from>
      <cdr:x>0.03613</cdr:x>
      <cdr:y>0.91561</cdr:y>
    </cdr:from>
    <cdr:to>
      <cdr:x>0.58092</cdr:x>
      <cdr:y>1</cdr:y>
    </cdr:to>
    <cdr:sp macro="" textlink="">
      <cdr:nvSpPr>
        <cdr:cNvPr id="2" name="TextBox 1"/>
        <cdr:cNvSpPr txBox="1"/>
      </cdr:nvSpPr>
      <cdr:spPr>
        <a:xfrm xmlns:a="http://schemas.openxmlformats.org/drawingml/2006/main">
          <a:off x="190500" y="1653540"/>
          <a:ext cx="2872740"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Source: US Census Bureau ACS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5561</Words>
  <Characters>31700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37187</CharactersWithSpaces>
  <SharedDoc>false</SharedDoc>
  <HLinks>
    <vt:vector size="12" baseType="variant">
      <vt:variant>
        <vt:i4>5505094</vt:i4>
      </vt:variant>
      <vt:variant>
        <vt:i4>3</vt:i4>
      </vt:variant>
      <vt:variant>
        <vt:i4>0</vt:i4>
      </vt:variant>
      <vt:variant>
        <vt:i4>5</vt:i4>
      </vt:variant>
      <vt:variant>
        <vt:lpwstr>http://www.storycountyresourceguide.com/</vt:lpwstr>
      </vt:variant>
      <vt:variant>
        <vt:lpwstr/>
      </vt:variant>
      <vt:variant>
        <vt:i4>5046348</vt:i4>
      </vt:variant>
      <vt:variant>
        <vt:i4>0</vt:i4>
      </vt:variant>
      <vt:variant>
        <vt:i4>0</vt:i4>
      </vt:variant>
      <vt:variant>
        <vt:i4>5</vt:i4>
      </vt:variant>
      <vt:variant>
        <vt:lpwstr>http://dev.boonecountydirectory.com/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Herzberg</dc:creator>
  <cp:lastModifiedBy>Marion Kresse</cp:lastModifiedBy>
  <cp:revision>2</cp:revision>
  <cp:lastPrinted>2018-10-30T20:29:00Z</cp:lastPrinted>
  <dcterms:created xsi:type="dcterms:W3CDTF">2018-10-30T20:31:00Z</dcterms:created>
  <dcterms:modified xsi:type="dcterms:W3CDTF">2018-10-30T20:31:00Z</dcterms:modified>
</cp:coreProperties>
</file>